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D528E" w14:textId="77777777" w:rsidR="00593C7F" w:rsidRDefault="00593C7F" w:rsidP="00593C7F">
      <w:pPr>
        <w:pStyle w:val="Bezproreda"/>
        <w:rPr>
          <w:rFonts w:ascii="Arial Narrow" w:hAnsi="Arial Narrow"/>
          <w:b/>
          <w:sz w:val="20"/>
          <w:szCs w:val="20"/>
        </w:rPr>
      </w:pPr>
      <w:r>
        <w:rPr>
          <w:sz w:val="20"/>
          <w:szCs w:val="20"/>
        </w:rPr>
        <w:t xml:space="preserve">                </w:t>
      </w:r>
      <w:r>
        <w:rPr>
          <w:noProof/>
          <w:sz w:val="20"/>
          <w:szCs w:val="20"/>
        </w:rPr>
        <w:drawing>
          <wp:inline distT="0" distB="0" distL="0" distR="0" wp14:anchorId="38D88719" wp14:editId="679E772E">
            <wp:extent cx="577901" cy="550744"/>
            <wp:effectExtent l="0" t="0" r="0" b="190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85190" cy="557691"/>
                    </a:xfrm>
                    <a:prstGeom prst="rect">
                      <a:avLst/>
                    </a:prstGeom>
                    <a:noFill/>
                    <a:ln>
                      <a:noFill/>
                    </a:ln>
                  </pic:spPr>
                </pic:pic>
              </a:graphicData>
            </a:graphic>
          </wp:inline>
        </w:drawing>
      </w:r>
      <w:r>
        <w:rPr>
          <w:sz w:val="20"/>
          <w:szCs w:val="20"/>
        </w:rPr>
        <w:t xml:space="preserve">  </w:t>
      </w:r>
    </w:p>
    <w:p w14:paraId="1C54B900" w14:textId="77777777" w:rsidR="00593C7F" w:rsidRDefault="00593C7F" w:rsidP="00593C7F">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REPUBLIKA HRVATSKA</w:t>
      </w:r>
    </w:p>
    <w:p w14:paraId="7949FD4D" w14:textId="77777777" w:rsidR="00593C7F" w:rsidRDefault="00593C7F" w:rsidP="00593C7F">
      <w:pPr>
        <w:pStyle w:val="Bezproreda"/>
        <w:rPr>
          <w:rFonts w:ascii="Tahoma" w:hAnsi="Tahoma" w:cs="Tahoma"/>
          <w:b/>
          <w:sz w:val="18"/>
          <w:szCs w:val="18"/>
        </w:rPr>
      </w:pPr>
      <w:r>
        <w:rPr>
          <w:rFonts w:ascii="Tahoma" w:hAnsi="Tahoma" w:cs="Tahoma"/>
          <w:b/>
          <w:sz w:val="18"/>
          <w:szCs w:val="18"/>
        </w:rPr>
        <w:t xml:space="preserve">   BRODSKO-POSAVSKA ŽUPANIJA </w:t>
      </w:r>
    </w:p>
    <w:p w14:paraId="729A8D70" w14:textId="77777777" w:rsidR="00593C7F" w:rsidRDefault="00593C7F" w:rsidP="00593C7F">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UPRAVNI ODJEL ZA GRADITELJSTVO,</w:t>
      </w:r>
      <w:r>
        <w:rPr>
          <w:rFonts w:ascii="Tahoma" w:hAnsi="Tahoma" w:cs="Tahoma"/>
          <w:b/>
          <w:bCs/>
          <w:sz w:val="18"/>
          <w:szCs w:val="18"/>
        </w:rPr>
        <w:t xml:space="preserve">  </w:t>
      </w:r>
    </w:p>
    <w:p w14:paraId="2E30EA10" w14:textId="77777777" w:rsidR="00593C7F" w:rsidRDefault="00593C7F" w:rsidP="00593C7F">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 xml:space="preserve">INFRASTRUKTURU </w:t>
      </w:r>
      <w:r>
        <w:rPr>
          <w:rFonts w:ascii="Tahoma" w:hAnsi="Tahoma" w:cs="Tahoma"/>
          <w:b/>
          <w:sz w:val="18"/>
          <w:szCs w:val="18"/>
        </w:rPr>
        <w:t xml:space="preserve">I ZAŠTITU OKOLIŠA </w:t>
      </w:r>
    </w:p>
    <w:p w14:paraId="259042B4" w14:textId="77777777" w:rsidR="00593C7F" w:rsidRDefault="00593C7F" w:rsidP="00593C7F">
      <w:pPr>
        <w:pStyle w:val="Bezproreda"/>
        <w:rPr>
          <w:rFonts w:ascii="Tahoma" w:hAnsi="Tahoma" w:cs="Tahoma"/>
          <w:i/>
          <w:sz w:val="16"/>
          <w:szCs w:val="16"/>
        </w:rPr>
      </w:pPr>
      <w:r>
        <w:rPr>
          <w:rFonts w:ascii="Tahoma" w:hAnsi="Tahoma" w:cs="Tahoma"/>
          <w:i/>
          <w:sz w:val="16"/>
          <w:szCs w:val="16"/>
        </w:rPr>
        <w:t>Petra Krešimira IV. br. 1, 35 000 Slavonski Brod</w:t>
      </w:r>
    </w:p>
    <w:p w14:paraId="2A5BB388" w14:textId="77777777" w:rsidR="00593C7F" w:rsidRDefault="00593C7F" w:rsidP="00593C7F">
      <w:pPr>
        <w:pStyle w:val="Bezproreda"/>
        <w:rPr>
          <w:rFonts w:ascii="Tahoma" w:hAnsi="Tahoma" w:cs="Tahoma"/>
          <w:i/>
          <w:iCs/>
          <w:sz w:val="16"/>
          <w:szCs w:val="16"/>
        </w:rPr>
      </w:pPr>
      <w:r>
        <w:rPr>
          <w:rFonts w:ascii="Tahoma" w:hAnsi="Tahoma" w:cs="Tahoma"/>
          <w:i/>
          <w:iCs/>
          <w:sz w:val="16"/>
          <w:szCs w:val="16"/>
          <w:lang w:val="en-GB"/>
        </w:rPr>
        <w:t>tel</w:t>
      </w:r>
      <w:r>
        <w:rPr>
          <w:rFonts w:ascii="Tahoma" w:hAnsi="Tahoma" w:cs="Tahoma"/>
          <w:i/>
          <w:iCs/>
          <w:sz w:val="16"/>
          <w:szCs w:val="16"/>
        </w:rPr>
        <w:t xml:space="preserve">: 035/443-126;   </w:t>
      </w:r>
      <w:r>
        <w:rPr>
          <w:rFonts w:ascii="Tahoma" w:hAnsi="Tahoma" w:cs="Tahoma"/>
          <w:i/>
          <w:iCs/>
          <w:sz w:val="16"/>
          <w:szCs w:val="16"/>
          <w:lang w:val="en-GB"/>
        </w:rPr>
        <w:t>fax</w:t>
      </w:r>
      <w:r>
        <w:rPr>
          <w:rFonts w:ascii="Tahoma" w:hAnsi="Tahoma" w:cs="Tahoma"/>
          <w:i/>
          <w:iCs/>
          <w:sz w:val="16"/>
          <w:szCs w:val="16"/>
        </w:rPr>
        <w:t>: 035/404-190</w:t>
      </w:r>
    </w:p>
    <w:p w14:paraId="1B032E77" w14:textId="77777777" w:rsidR="00593C7F" w:rsidRDefault="00593C7F" w:rsidP="00593C7F">
      <w:pPr>
        <w:pStyle w:val="Bezproreda"/>
        <w:rPr>
          <w:rFonts w:ascii="Tahoma" w:hAnsi="Tahoma" w:cs="Tahoma"/>
          <w:i/>
          <w:iCs/>
          <w:sz w:val="16"/>
          <w:szCs w:val="16"/>
          <w:lang w:val="de-DE"/>
        </w:rPr>
      </w:pPr>
      <w:r>
        <w:rPr>
          <w:rFonts w:ascii="Tahoma" w:hAnsi="Tahoma" w:cs="Tahoma"/>
          <w:i/>
          <w:iCs/>
          <w:sz w:val="16"/>
          <w:szCs w:val="16"/>
          <w:lang w:val="de-DE"/>
        </w:rPr>
        <w:t>e</w:t>
      </w:r>
      <w:r>
        <w:rPr>
          <w:rFonts w:ascii="Tahoma" w:hAnsi="Tahoma" w:cs="Tahoma"/>
          <w:i/>
          <w:iCs/>
          <w:sz w:val="16"/>
          <w:szCs w:val="16"/>
        </w:rPr>
        <w:t>-</w:t>
      </w:r>
      <w:r>
        <w:rPr>
          <w:rFonts w:ascii="Tahoma" w:hAnsi="Tahoma" w:cs="Tahoma"/>
          <w:i/>
          <w:iCs/>
          <w:sz w:val="16"/>
          <w:szCs w:val="16"/>
          <w:lang w:val="de-DE"/>
        </w:rPr>
        <w:t>mail</w:t>
      </w:r>
      <w:r>
        <w:rPr>
          <w:rFonts w:ascii="Tahoma" w:hAnsi="Tahoma" w:cs="Tahoma"/>
          <w:i/>
          <w:iCs/>
          <w:sz w:val="16"/>
          <w:szCs w:val="16"/>
        </w:rPr>
        <w:t xml:space="preserve">: </w:t>
      </w:r>
      <w:r>
        <w:rPr>
          <w:rFonts w:ascii="Tahoma" w:hAnsi="Tahoma" w:cs="Tahoma"/>
          <w:i/>
          <w:iCs/>
          <w:sz w:val="16"/>
          <w:szCs w:val="16"/>
          <w:lang w:val="de-DE"/>
        </w:rPr>
        <w:t>komgosp@bpz.hr</w:t>
      </w:r>
    </w:p>
    <w:p w14:paraId="641A5EB3" w14:textId="77777777" w:rsidR="00593C7F" w:rsidRDefault="00593C7F" w:rsidP="00593C7F">
      <w:pPr>
        <w:pStyle w:val="Bezproreda"/>
        <w:rPr>
          <w:rFonts w:ascii="Tahoma" w:hAnsi="Tahoma" w:cs="Tahoma"/>
          <w:sz w:val="16"/>
          <w:szCs w:val="16"/>
        </w:rPr>
      </w:pPr>
    </w:p>
    <w:p w14:paraId="62AFE034" w14:textId="77777777" w:rsidR="00593C7F" w:rsidRDefault="00593C7F" w:rsidP="00593C7F">
      <w:pPr>
        <w:pStyle w:val="Bezproreda"/>
        <w:rPr>
          <w:rFonts w:ascii="Tahoma" w:hAnsi="Tahoma" w:cs="Tahoma"/>
          <w:sz w:val="16"/>
          <w:szCs w:val="16"/>
        </w:rPr>
      </w:pPr>
      <w:r>
        <w:rPr>
          <w:rFonts w:ascii="Tahoma" w:hAnsi="Tahoma" w:cs="Tahoma"/>
          <w:sz w:val="16"/>
          <w:szCs w:val="16"/>
        </w:rPr>
        <w:t>KLASA: UP/I 352-02/22-01/06</w:t>
      </w:r>
    </w:p>
    <w:p w14:paraId="1039094E" w14:textId="77777777" w:rsidR="00593C7F" w:rsidRDefault="00593C7F" w:rsidP="00593C7F">
      <w:pPr>
        <w:pStyle w:val="Bezproreda"/>
        <w:rPr>
          <w:rFonts w:ascii="Tahoma" w:hAnsi="Tahoma" w:cs="Tahoma"/>
          <w:sz w:val="16"/>
          <w:szCs w:val="16"/>
        </w:rPr>
      </w:pPr>
      <w:r>
        <w:rPr>
          <w:rFonts w:ascii="Tahoma" w:hAnsi="Tahoma" w:cs="Tahoma"/>
          <w:sz w:val="16"/>
          <w:szCs w:val="16"/>
        </w:rPr>
        <w:t>URBROJ: 2178-03-02/5-22-03</w:t>
      </w:r>
    </w:p>
    <w:p w14:paraId="7726A3B7" w14:textId="77777777" w:rsidR="00593C7F" w:rsidRDefault="00593C7F" w:rsidP="00593C7F">
      <w:pPr>
        <w:pStyle w:val="Bezproreda"/>
        <w:rPr>
          <w:rFonts w:ascii="Tahoma" w:hAnsi="Tahoma" w:cs="Tahoma"/>
          <w:sz w:val="16"/>
          <w:szCs w:val="16"/>
        </w:rPr>
      </w:pPr>
      <w:r>
        <w:rPr>
          <w:rFonts w:ascii="Tahoma" w:hAnsi="Tahoma" w:cs="Tahoma"/>
          <w:sz w:val="16"/>
          <w:szCs w:val="16"/>
        </w:rPr>
        <w:t>Slavonski Brod,  25. travnja 2022. godine</w:t>
      </w:r>
    </w:p>
    <w:p w14:paraId="20638E08" w14:textId="77777777" w:rsidR="00593C7F" w:rsidRDefault="00593C7F" w:rsidP="00593C7F">
      <w:pPr>
        <w:pStyle w:val="Bezproreda"/>
        <w:jc w:val="both"/>
        <w:rPr>
          <w:rFonts w:ascii="Tahoma" w:hAnsi="Tahoma" w:cs="Tahoma"/>
          <w:b/>
          <w:sz w:val="16"/>
          <w:szCs w:val="16"/>
        </w:rPr>
      </w:pPr>
    </w:p>
    <w:p w14:paraId="264C87C6" w14:textId="77777777" w:rsidR="00593C7F" w:rsidRDefault="00593C7F" w:rsidP="00593C7F">
      <w:pPr>
        <w:pStyle w:val="Bezproreda"/>
        <w:ind w:right="-284"/>
        <w:jc w:val="both"/>
        <w:rPr>
          <w:rFonts w:ascii="Tahoma" w:hAnsi="Tahoma" w:cs="Tahoma"/>
          <w:b/>
          <w:sz w:val="16"/>
          <w:szCs w:val="16"/>
        </w:rPr>
      </w:pPr>
    </w:p>
    <w:p w14:paraId="6101799D" w14:textId="034784AA" w:rsidR="00593C7F" w:rsidRDefault="00593C7F" w:rsidP="00593C7F">
      <w:pPr>
        <w:pStyle w:val="Bezproreda"/>
        <w:jc w:val="both"/>
        <w:rPr>
          <w:rFonts w:ascii="Arial" w:hAnsi="Arial" w:cs="Arial"/>
          <w:sz w:val="20"/>
          <w:szCs w:val="20"/>
        </w:rPr>
      </w:pPr>
      <w:r>
        <w:rPr>
          <w:rFonts w:ascii="Arial" w:hAnsi="Arial" w:cs="Arial"/>
          <w:sz w:val="20"/>
          <w:szCs w:val="20"/>
        </w:rPr>
        <w:t>Upravni odjel za graditeljstvo, infrastrukturu i zaštitu okoliša, Brodsko-posavska županija, OIB 27400987949,  temeljem članka 30. stavak 4. i 6., vezano uz članak 29. stavak 2. Zakona o zaštiti prirode („Narodne novine“, br. 80/13, 15/18, 14/19 i 127/19), a povodom zahtjeva nositelja zahvata EURO-TIM d.o.o. Kujnik 62, Kujnik, OIB37607749313, za provedbom  postupka Prethodne ocjene prihvatljivosti za ekološku mrežu  zahvata izgradnje  građevina poljoprivredne namjene nadstrešnic</w:t>
      </w:r>
      <w:r w:rsidR="00EA409B">
        <w:rPr>
          <w:rFonts w:ascii="Arial" w:hAnsi="Arial" w:cs="Arial"/>
          <w:sz w:val="20"/>
          <w:szCs w:val="20"/>
        </w:rPr>
        <w:t>e</w:t>
      </w:r>
      <w:r>
        <w:rPr>
          <w:rFonts w:ascii="Arial" w:hAnsi="Arial" w:cs="Arial"/>
          <w:sz w:val="20"/>
          <w:szCs w:val="20"/>
        </w:rPr>
        <w:t xml:space="preserve"> sa sušarom za biomasu i 3 nadstrešnice za smještaj biomase u balama,  nakon provedenog postupka, donosi</w:t>
      </w:r>
    </w:p>
    <w:p w14:paraId="10A36F34" w14:textId="77777777" w:rsidR="00593C7F" w:rsidRDefault="00593C7F" w:rsidP="00593C7F">
      <w:pPr>
        <w:pStyle w:val="Bezproreda"/>
        <w:jc w:val="both"/>
        <w:rPr>
          <w:rFonts w:ascii="Arial" w:hAnsi="Arial" w:cs="Arial"/>
          <w:sz w:val="20"/>
          <w:szCs w:val="20"/>
        </w:rPr>
      </w:pPr>
    </w:p>
    <w:p w14:paraId="68EDD855" w14:textId="77777777" w:rsidR="00593C7F" w:rsidRDefault="00593C7F" w:rsidP="00593C7F">
      <w:pPr>
        <w:pStyle w:val="Bezproreda"/>
        <w:jc w:val="both"/>
        <w:rPr>
          <w:rFonts w:ascii="Arial" w:hAnsi="Arial" w:cs="Arial"/>
          <w:sz w:val="20"/>
          <w:szCs w:val="20"/>
        </w:rPr>
      </w:pPr>
    </w:p>
    <w:p w14:paraId="079128CC" w14:textId="77777777" w:rsidR="00593C7F" w:rsidRDefault="00593C7F" w:rsidP="00593C7F">
      <w:pPr>
        <w:pStyle w:val="Bezproreda"/>
        <w:jc w:val="center"/>
        <w:rPr>
          <w:rFonts w:ascii="Arial" w:hAnsi="Arial" w:cs="Arial"/>
          <w:b/>
          <w:sz w:val="24"/>
          <w:szCs w:val="24"/>
        </w:rPr>
      </w:pPr>
      <w:r>
        <w:rPr>
          <w:rFonts w:ascii="Arial" w:hAnsi="Arial" w:cs="Arial"/>
          <w:b/>
          <w:sz w:val="24"/>
          <w:szCs w:val="24"/>
        </w:rPr>
        <w:t>R  J  E  Š  E  NJ  E</w:t>
      </w:r>
    </w:p>
    <w:p w14:paraId="66D6CD82" w14:textId="77777777" w:rsidR="00593C7F" w:rsidRDefault="00593C7F" w:rsidP="00593C7F">
      <w:pPr>
        <w:pStyle w:val="Bezproreda"/>
        <w:jc w:val="both"/>
        <w:rPr>
          <w:rFonts w:ascii="Arial" w:hAnsi="Arial" w:cs="Arial"/>
          <w:sz w:val="20"/>
          <w:szCs w:val="20"/>
        </w:rPr>
      </w:pPr>
    </w:p>
    <w:p w14:paraId="5996E54B" w14:textId="7BE127A0" w:rsidR="00593C7F" w:rsidRDefault="00593C7F" w:rsidP="00593C7F">
      <w:pPr>
        <w:pStyle w:val="Bezproreda"/>
        <w:jc w:val="both"/>
        <w:rPr>
          <w:rFonts w:ascii="Arial" w:hAnsi="Arial" w:cs="Arial"/>
          <w:b/>
          <w:bCs/>
          <w:sz w:val="20"/>
          <w:szCs w:val="20"/>
        </w:rPr>
      </w:pPr>
      <w:r>
        <w:rPr>
          <w:rFonts w:ascii="Arial" w:hAnsi="Arial" w:cs="Arial"/>
          <w:sz w:val="20"/>
          <w:szCs w:val="20"/>
        </w:rPr>
        <w:t>1</w:t>
      </w:r>
      <w:r w:rsidRPr="0086525C">
        <w:rPr>
          <w:rFonts w:ascii="Arial" w:hAnsi="Arial" w:cs="Arial"/>
          <w:b/>
          <w:bCs/>
          <w:sz w:val="20"/>
          <w:szCs w:val="20"/>
        </w:rPr>
        <w:t>.    Namjeravani zahvat:  „Izgradnja  građevina poljoprivredne namjene nadstrešnic</w:t>
      </w:r>
      <w:r w:rsidR="00EA409B">
        <w:rPr>
          <w:rFonts w:ascii="Arial" w:hAnsi="Arial" w:cs="Arial"/>
          <w:b/>
          <w:bCs/>
          <w:sz w:val="20"/>
          <w:szCs w:val="20"/>
        </w:rPr>
        <w:t>e</w:t>
      </w:r>
      <w:r w:rsidRPr="0086525C">
        <w:rPr>
          <w:rFonts w:ascii="Arial" w:hAnsi="Arial" w:cs="Arial"/>
          <w:b/>
          <w:bCs/>
          <w:sz w:val="20"/>
          <w:szCs w:val="20"/>
        </w:rPr>
        <w:t xml:space="preserve"> sa sušarom </w:t>
      </w:r>
    </w:p>
    <w:p w14:paraId="0CE74BC3" w14:textId="4A47376B" w:rsidR="00593C7F" w:rsidRDefault="00593C7F" w:rsidP="00593C7F">
      <w:pPr>
        <w:pStyle w:val="Bezproreda"/>
        <w:jc w:val="both"/>
        <w:rPr>
          <w:rFonts w:ascii="Arial" w:hAnsi="Arial" w:cs="Arial"/>
          <w:b/>
          <w:bCs/>
          <w:sz w:val="20"/>
          <w:szCs w:val="20"/>
        </w:rPr>
      </w:pPr>
      <w:r>
        <w:rPr>
          <w:rFonts w:ascii="Arial" w:hAnsi="Arial" w:cs="Arial"/>
          <w:b/>
          <w:bCs/>
          <w:sz w:val="20"/>
          <w:szCs w:val="20"/>
        </w:rPr>
        <w:t xml:space="preserve">      </w:t>
      </w:r>
      <w:r w:rsidRPr="0086525C">
        <w:rPr>
          <w:rFonts w:ascii="Arial" w:hAnsi="Arial" w:cs="Arial"/>
          <w:b/>
          <w:bCs/>
          <w:sz w:val="20"/>
          <w:szCs w:val="20"/>
        </w:rPr>
        <w:t xml:space="preserve">za </w:t>
      </w:r>
      <w:r w:rsidR="00D3719B">
        <w:rPr>
          <w:rFonts w:ascii="Arial" w:hAnsi="Arial" w:cs="Arial"/>
          <w:b/>
          <w:bCs/>
          <w:sz w:val="20"/>
          <w:szCs w:val="20"/>
        </w:rPr>
        <w:t xml:space="preserve"> </w:t>
      </w:r>
      <w:r w:rsidRPr="0086525C">
        <w:rPr>
          <w:rFonts w:ascii="Arial" w:hAnsi="Arial" w:cs="Arial"/>
          <w:b/>
          <w:bCs/>
          <w:sz w:val="20"/>
          <w:szCs w:val="20"/>
        </w:rPr>
        <w:t>biomasu</w:t>
      </w:r>
      <w:r w:rsidR="00D3719B">
        <w:rPr>
          <w:rFonts w:ascii="Arial" w:hAnsi="Arial" w:cs="Arial"/>
          <w:b/>
          <w:bCs/>
          <w:sz w:val="20"/>
          <w:szCs w:val="20"/>
        </w:rPr>
        <w:t xml:space="preserve"> </w:t>
      </w:r>
      <w:r w:rsidRPr="0086525C">
        <w:rPr>
          <w:rFonts w:ascii="Arial" w:hAnsi="Arial" w:cs="Arial"/>
          <w:b/>
          <w:bCs/>
          <w:sz w:val="20"/>
          <w:szCs w:val="20"/>
        </w:rPr>
        <w:t xml:space="preserve"> i </w:t>
      </w:r>
      <w:r w:rsidR="00D3719B">
        <w:rPr>
          <w:rFonts w:ascii="Arial" w:hAnsi="Arial" w:cs="Arial"/>
          <w:b/>
          <w:bCs/>
          <w:sz w:val="20"/>
          <w:szCs w:val="20"/>
        </w:rPr>
        <w:t xml:space="preserve"> </w:t>
      </w:r>
      <w:r w:rsidRPr="0086525C">
        <w:rPr>
          <w:rFonts w:ascii="Arial" w:hAnsi="Arial" w:cs="Arial"/>
          <w:b/>
          <w:bCs/>
          <w:sz w:val="20"/>
          <w:szCs w:val="20"/>
        </w:rPr>
        <w:t>3 nadstrešnice</w:t>
      </w:r>
      <w:r w:rsidR="00D3719B">
        <w:rPr>
          <w:rFonts w:ascii="Arial" w:hAnsi="Arial" w:cs="Arial"/>
          <w:b/>
          <w:bCs/>
          <w:sz w:val="20"/>
          <w:szCs w:val="20"/>
        </w:rPr>
        <w:t xml:space="preserve"> </w:t>
      </w:r>
      <w:r w:rsidRPr="0086525C">
        <w:rPr>
          <w:rFonts w:ascii="Arial" w:hAnsi="Arial" w:cs="Arial"/>
          <w:b/>
          <w:bCs/>
          <w:sz w:val="20"/>
          <w:szCs w:val="20"/>
        </w:rPr>
        <w:t xml:space="preserve"> za</w:t>
      </w:r>
      <w:r w:rsidR="00D3719B">
        <w:rPr>
          <w:rFonts w:ascii="Arial" w:hAnsi="Arial" w:cs="Arial"/>
          <w:b/>
          <w:bCs/>
          <w:sz w:val="20"/>
          <w:szCs w:val="20"/>
        </w:rPr>
        <w:t xml:space="preserve"> </w:t>
      </w:r>
      <w:r w:rsidRPr="0086525C">
        <w:rPr>
          <w:rFonts w:ascii="Arial" w:hAnsi="Arial" w:cs="Arial"/>
          <w:b/>
          <w:bCs/>
          <w:sz w:val="20"/>
          <w:szCs w:val="20"/>
        </w:rPr>
        <w:t xml:space="preserve"> smještaj</w:t>
      </w:r>
      <w:r w:rsidR="00D3719B">
        <w:rPr>
          <w:rFonts w:ascii="Arial" w:hAnsi="Arial" w:cs="Arial"/>
          <w:b/>
          <w:bCs/>
          <w:sz w:val="20"/>
          <w:szCs w:val="20"/>
        </w:rPr>
        <w:t xml:space="preserve"> </w:t>
      </w:r>
      <w:r w:rsidRPr="0086525C">
        <w:rPr>
          <w:rFonts w:ascii="Arial" w:hAnsi="Arial" w:cs="Arial"/>
          <w:b/>
          <w:bCs/>
          <w:sz w:val="20"/>
          <w:szCs w:val="20"/>
        </w:rPr>
        <w:t xml:space="preserve"> biomase u balama na kčbr. 4001/2 k.o. Sibinj  na  </w:t>
      </w:r>
    </w:p>
    <w:p w14:paraId="20521F54" w14:textId="77777777" w:rsidR="00593C7F" w:rsidRDefault="00593C7F" w:rsidP="00593C7F">
      <w:pPr>
        <w:pStyle w:val="Bezproreda"/>
        <w:jc w:val="both"/>
        <w:rPr>
          <w:rFonts w:ascii="Arial" w:hAnsi="Arial" w:cs="Arial"/>
          <w:sz w:val="20"/>
          <w:szCs w:val="20"/>
        </w:rPr>
      </w:pPr>
      <w:r>
        <w:rPr>
          <w:rFonts w:ascii="Arial" w:hAnsi="Arial" w:cs="Arial"/>
          <w:b/>
          <w:bCs/>
          <w:sz w:val="20"/>
          <w:szCs w:val="20"/>
        </w:rPr>
        <w:t xml:space="preserve">      </w:t>
      </w:r>
      <w:r w:rsidRPr="0086525C">
        <w:rPr>
          <w:rFonts w:ascii="Arial" w:hAnsi="Arial" w:cs="Arial"/>
          <w:b/>
          <w:bCs/>
          <w:sz w:val="20"/>
          <w:szCs w:val="20"/>
        </w:rPr>
        <w:t>području  Općine  Sibinj“,</w:t>
      </w:r>
      <w:r>
        <w:rPr>
          <w:rFonts w:ascii="Arial" w:hAnsi="Arial" w:cs="Arial"/>
          <w:b/>
          <w:sz w:val="20"/>
          <w:szCs w:val="20"/>
        </w:rPr>
        <w:t xml:space="preserve">  Brodsko-posavska  županija, </w:t>
      </w:r>
      <w:r>
        <w:rPr>
          <w:rFonts w:ascii="Arial" w:hAnsi="Arial" w:cs="Arial"/>
          <w:sz w:val="20"/>
          <w:szCs w:val="20"/>
        </w:rPr>
        <w:t xml:space="preserve">  nositelja  zahvata  EURO-TIM d.o.o., </w:t>
      </w:r>
    </w:p>
    <w:p w14:paraId="0988A8CB" w14:textId="77777777" w:rsidR="00593C7F" w:rsidRPr="0086525C" w:rsidRDefault="00593C7F" w:rsidP="00593C7F">
      <w:pPr>
        <w:pStyle w:val="Bezproreda"/>
        <w:jc w:val="both"/>
        <w:rPr>
          <w:rFonts w:ascii="Arial" w:hAnsi="Arial" w:cs="Arial"/>
          <w:b/>
          <w:bCs/>
          <w:sz w:val="20"/>
          <w:szCs w:val="20"/>
        </w:rPr>
      </w:pPr>
      <w:r>
        <w:rPr>
          <w:rFonts w:ascii="Arial" w:hAnsi="Arial" w:cs="Arial"/>
          <w:sz w:val="20"/>
          <w:szCs w:val="20"/>
        </w:rPr>
        <w:t xml:space="preserve">      Kujnik, Kujnik 61,</w:t>
      </w:r>
      <w:r>
        <w:rPr>
          <w:rFonts w:ascii="Arial" w:hAnsi="Arial" w:cs="Arial"/>
          <w:b/>
          <w:sz w:val="20"/>
          <w:szCs w:val="20"/>
        </w:rPr>
        <w:t xml:space="preserve"> prihvatljiv je za ekološku mrežu</w:t>
      </w:r>
      <w:r>
        <w:rPr>
          <w:rFonts w:ascii="Arial" w:hAnsi="Arial" w:cs="Arial"/>
          <w:sz w:val="20"/>
          <w:szCs w:val="20"/>
        </w:rPr>
        <w:t>.</w:t>
      </w:r>
    </w:p>
    <w:p w14:paraId="5AC02DF7" w14:textId="77777777" w:rsidR="00593C7F" w:rsidRDefault="00593C7F" w:rsidP="00593C7F">
      <w:pPr>
        <w:pStyle w:val="Bezproreda"/>
        <w:jc w:val="both"/>
        <w:rPr>
          <w:rFonts w:ascii="Arial" w:hAnsi="Arial" w:cs="Arial"/>
          <w:sz w:val="20"/>
          <w:szCs w:val="20"/>
        </w:rPr>
      </w:pPr>
      <w:r>
        <w:rPr>
          <w:rFonts w:ascii="Arial" w:hAnsi="Arial" w:cs="Arial"/>
          <w:sz w:val="20"/>
          <w:szCs w:val="20"/>
        </w:rPr>
        <w:t>2.    Ovo Rješenje izdaje se na rok od četiri (4) godine.</w:t>
      </w:r>
    </w:p>
    <w:p w14:paraId="19B03BBE" w14:textId="77777777" w:rsidR="00593C7F" w:rsidRDefault="00593C7F" w:rsidP="00593C7F">
      <w:pPr>
        <w:pStyle w:val="Bezproreda"/>
        <w:jc w:val="both"/>
        <w:rPr>
          <w:rFonts w:ascii="Arial" w:hAnsi="Arial" w:cs="Arial"/>
          <w:sz w:val="20"/>
          <w:szCs w:val="20"/>
        </w:rPr>
      </w:pPr>
      <w:r>
        <w:rPr>
          <w:rFonts w:ascii="Arial" w:hAnsi="Arial" w:cs="Arial"/>
          <w:sz w:val="20"/>
          <w:szCs w:val="20"/>
        </w:rPr>
        <w:t>3.    Ovo Rješenje objavljuje  se  na  internetskim  stranicama Brodsko-posavske županije.</w:t>
      </w:r>
    </w:p>
    <w:p w14:paraId="18F0A7CA" w14:textId="77777777" w:rsidR="00593C7F" w:rsidRDefault="00593C7F" w:rsidP="00593C7F">
      <w:pPr>
        <w:pStyle w:val="Bezproreda"/>
        <w:rPr>
          <w:rFonts w:ascii="Arial" w:hAnsi="Arial" w:cs="Arial"/>
          <w:sz w:val="20"/>
          <w:szCs w:val="20"/>
        </w:rPr>
      </w:pPr>
    </w:p>
    <w:p w14:paraId="6361B9F6" w14:textId="77777777" w:rsidR="00593C7F" w:rsidRDefault="00593C7F" w:rsidP="00593C7F">
      <w:pPr>
        <w:pStyle w:val="Bezproreda"/>
        <w:rPr>
          <w:rFonts w:ascii="Arial" w:hAnsi="Arial" w:cs="Arial"/>
          <w:sz w:val="20"/>
          <w:szCs w:val="20"/>
        </w:rPr>
      </w:pPr>
    </w:p>
    <w:p w14:paraId="3727FA72" w14:textId="77777777" w:rsidR="00593C7F" w:rsidRDefault="00593C7F" w:rsidP="00593C7F">
      <w:pPr>
        <w:pStyle w:val="Bezproreda"/>
        <w:jc w:val="center"/>
        <w:rPr>
          <w:rFonts w:ascii="Arial" w:hAnsi="Arial" w:cs="Arial"/>
          <w:b/>
          <w:bCs/>
          <w:i/>
          <w:iCs/>
          <w:sz w:val="20"/>
          <w:szCs w:val="20"/>
        </w:rPr>
      </w:pPr>
      <w:r>
        <w:rPr>
          <w:rFonts w:ascii="Arial" w:hAnsi="Arial" w:cs="Arial"/>
          <w:b/>
          <w:bCs/>
          <w:i/>
          <w:iCs/>
          <w:sz w:val="20"/>
          <w:szCs w:val="20"/>
        </w:rPr>
        <w:t>O  b  r  a  z  l  o  ž  e  nj  e</w:t>
      </w:r>
    </w:p>
    <w:p w14:paraId="13BFA65B" w14:textId="77777777" w:rsidR="00593C7F" w:rsidRDefault="00593C7F" w:rsidP="00593C7F">
      <w:pPr>
        <w:pStyle w:val="Bezproreda"/>
        <w:jc w:val="center"/>
        <w:rPr>
          <w:rFonts w:ascii="Arial" w:hAnsi="Arial" w:cs="Arial"/>
          <w:b/>
          <w:bCs/>
          <w:i/>
          <w:iCs/>
          <w:sz w:val="20"/>
          <w:szCs w:val="20"/>
        </w:rPr>
      </w:pPr>
    </w:p>
    <w:p w14:paraId="3A5DBAB7" w14:textId="77777777" w:rsidR="00593C7F" w:rsidRDefault="00593C7F" w:rsidP="00593C7F">
      <w:pPr>
        <w:pStyle w:val="Bezproreda"/>
        <w:jc w:val="both"/>
        <w:rPr>
          <w:rFonts w:ascii="Arial" w:hAnsi="Arial" w:cs="Arial"/>
          <w:sz w:val="20"/>
          <w:szCs w:val="20"/>
        </w:rPr>
      </w:pPr>
    </w:p>
    <w:p w14:paraId="38D0C729" w14:textId="2AA67896" w:rsidR="00593C7F" w:rsidRDefault="00593C7F" w:rsidP="00593C7F">
      <w:pPr>
        <w:pStyle w:val="Bezproreda"/>
        <w:jc w:val="both"/>
        <w:rPr>
          <w:rFonts w:ascii="Arial" w:hAnsi="Arial" w:cs="Arial"/>
          <w:sz w:val="20"/>
          <w:szCs w:val="20"/>
        </w:rPr>
      </w:pPr>
      <w:r>
        <w:rPr>
          <w:rFonts w:ascii="Arial" w:hAnsi="Arial" w:cs="Arial"/>
          <w:sz w:val="20"/>
          <w:szCs w:val="20"/>
        </w:rPr>
        <w:t>Brodsko-posavska županija, Upravni odjel za graditeljstvo, infrastrukturu i zaštitu okoliša, je zaprimio dana 7. travnja  2022. god., zahtjev opunomoćenika nositelja zahvata tvrtke PROJEKTI d.o.o. iz Slavonskog Broda, Matije Gupca 32, za provedb</w:t>
      </w:r>
      <w:r w:rsidR="00F51604">
        <w:rPr>
          <w:rFonts w:ascii="Arial" w:hAnsi="Arial" w:cs="Arial"/>
          <w:sz w:val="20"/>
          <w:szCs w:val="20"/>
        </w:rPr>
        <w:t>om</w:t>
      </w:r>
      <w:r>
        <w:rPr>
          <w:rFonts w:ascii="Arial" w:hAnsi="Arial" w:cs="Arial"/>
          <w:sz w:val="20"/>
          <w:szCs w:val="20"/>
        </w:rPr>
        <w:t xml:space="preserve"> postupka Prethodne ocjene prihvatljivosti za ekološku mrežu za zahvat izgradnje  građevina poljoprivredne namjene nadstrešnic</w:t>
      </w:r>
      <w:r w:rsidR="00D3719B">
        <w:rPr>
          <w:rFonts w:ascii="Arial" w:hAnsi="Arial" w:cs="Arial"/>
          <w:sz w:val="20"/>
          <w:szCs w:val="20"/>
        </w:rPr>
        <w:t>e</w:t>
      </w:r>
      <w:r>
        <w:rPr>
          <w:rFonts w:ascii="Arial" w:hAnsi="Arial" w:cs="Arial"/>
          <w:sz w:val="20"/>
          <w:szCs w:val="20"/>
        </w:rPr>
        <w:t xml:space="preserve"> sa sušarom za biomasu i 3 nadstrešnice za smještaj biomase u balama na kčbr. 4001/2 k.o. Sibinj (Sibinj, Jelik)</w:t>
      </w:r>
      <w:r>
        <w:rPr>
          <w:rFonts w:ascii="Arial" w:hAnsi="Arial" w:cs="Arial"/>
          <w:bCs/>
          <w:sz w:val="20"/>
          <w:szCs w:val="20"/>
        </w:rPr>
        <w:t>.</w:t>
      </w:r>
      <w:r>
        <w:rPr>
          <w:rFonts w:ascii="Arial" w:hAnsi="Arial" w:cs="Arial"/>
          <w:sz w:val="20"/>
          <w:szCs w:val="20"/>
        </w:rPr>
        <w:t xml:space="preserve">  Zahtjev je u skladu s  odredbama članka 30. stavka 2. Zakona o zaštiti prirode,  te je uz zahtjev dostavljeno Idejno rješenje (Arhitektonski projekt, mapa I; zop:4-2022, br. 4-2022/A, iz ožujka 2022.god.). </w:t>
      </w:r>
    </w:p>
    <w:p w14:paraId="3C755114" w14:textId="77777777" w:rsidR="00593C7F" w:rsidRDefault="00593C7F" w:rsidP="00593C7F">
      <w:pPr>
        <w:pStyle w:val="Bezproreda"/>
        <w:jc w:val="both"/>
        <w:rPr>
          <w:rFonts w:ascii="Arial" w:hAnsi="Arial" w:cs="Arial"/>
          <w:sz w:val="20"/>
          <w:szCs w:val="20"/>
        </w:rPr>
      </w:pPr>
    </w:p>
    <w:p w14:paraId="7BB4364B" w14:textId="77777777" w:rsidR="00593C7F" w:rsidRDefault="00593C7F" w:rsidP="00593C7F">
      <w:pPr>
        <w:pStyle w:val="Bezproreda"/>
        <w:jc w:val="both"/>
        <w:rPr>
          <w:rFonts w:ascii="Arial" w:hAnsi="Arial" w:cs="Arial"/>
          <w:sz w:val="20"/>
          <w:szCs w:val="20"/>
        </w:rPr>
      </w:pPr>
      <w:r>
        <w:rPr>
          <w:rFonts w:ascii="Arial" w:hAnsi="Arial" w:cs="Arial"/>
          <w:sz w:val="20"/>
          <w:szCs w:val="20"/>
        </w:rPr>
        <w:t xml:space="preserve">Upravni odjel  je  sukladno članku 30. stavak 3. Zakona o zaštiti prirode, dopisom (KLASA:UP/I 352-02/22-01/06, URBROJ:2178-03-02/5-22-02, od 8. travnja 2022. god.), zatražio prethodno mišljenje Ministarstva gospodarstva i održivog razvoja, Zavoda za zaštitu okoliša i prirode. U prethodnom mišljenju Ministarstva, Zavoda za zaštitu okoliša i prirode (KLASA: 352-03/22-02/237, URBROJ: 517-12-2-3-2-22-2, od 22. travnja  2022. god.), navodi se kako se Prethodnom ocjenom zahvata može isključiti mogućnost značajnih negativnih utjecaja na ciljeve očuvanja i cjelovitost područja ekološke mreže, te da je zahvat prihvatljiv i  nije potrebno provesti Glavnu ocjenu zahvata za ekološku mrežu. </w:t>
      </w:r>
    </w:p>
    <w:p w14:paraId="4B93C6C5" w14:textId="77777777" w:rsidR="00593C7F" w:rsidRDefault="00593C7F" w:rsidP="00593C7F">
      <w:pPr>
        <w:pStyle w:val="Bezproreda"/>
        <w:jc w:val="both"/>
        <w:rPr>
          <w:rFonts w:ascii="Arial" w:hAnsi="Arial" w:cs="Arial"/>
          <w:sz w:val="20"/>
          <w:szCs w:val="20"/>
        </w:rPr>
      </w:pPr>
    </w:p>
    <w:p w14:paraId="7F3D4037" w14:textId="77777777" w:rsidR="00593C7F" w:rsidRPr="00D554C5" w:rsidRDefault="00593C7F" w:rsidP="00593C7F">
      <w:pPr>
        <w:pStyle w:val="Bezproreda"/>
        <w:jc w:val="both"/>
        <w:rPr>
          <w:rFonts w:ascii="Arial" w:hAnsi="Arial" w:cs="Arial"/>
          <w:sz w:val="20"/>
          <w:szCs w:val="20"/>
        </w:rPr>
      </w:pPr>
      <w:r w:rsidRPr="00D554C5">
        <w:rPr>
          <w:rFonts w:ascii="Arial" w:hAnsi="Arial" w:cs="Arial"/>
          <w:sz w:val="20"/>
          <w:szCs w:val="20"/>
        </w:rPr>
        <w:t>U provedbi postupka ovaj Upravni odjel je razmotrio predmetni zahtjev, priloženu dokumentaciju, podatke o ekološkoj mreži  (područja ekološke mreže, ciljne vrste i stanišne tipove) i mišljenje Zavoda za zaštitu okoliša i prirode, te je utvrdio sljedeće:</w:t>
      </w:r>
    </w:p>
    <w:p w14:paraId="6BD57736" w14:textId="77777777" w:rsidR="00593C7F" w:rsidRPr="00D554C5" w:rsidRDefault="00593C7F" w:rsidP="00593C7F">
      <w:pPr>
        <w:pStyle w:val="Bezproreda"/>
        <w:jc w:val="both"/>
        <w:rPr>
          <w:rFonts w:ascii="Arial" w:hAnsi="Arial" w:cs="Arial"/>
          <w:sz w:val="20"/>
          <w:szCs w:val="20"/>
        </w:rPr>
      </w:pPr>
      <w:r w:rsidRPr="00D554C5">
        <w:rPr>
          <w:rFonts w:ascii="Arial" w:hAnsi="Arial" w:cs="Arial"/>
          <w:sz w:val="20"/>
          <w:szCs w:val="20"/>
        </w:rPr>
        <w:t xml:space="preserve">Na lokaciji kčbr. 4001/21 k.o. Sibinj, </w:t>
      </w:r>
      <w:r>
        <w:rPr>
          <w:rFonts w:ascii="Arial" w:hAnsi="Arial" w:cs="Arial"/>
          <w:sz w:val="20"/>
          <w:szCs w:val="20"/>
        </w:rPr>
        <w:t xml:space="preserve">izvan granica građevinskog područja, </w:t>
      </w:r>
      <w:r w:rsidRPr="00D554C5">
        <w:rPr>
          <w:rFonts w:ascii="Arial" w:hAnsi="Arial" w:cs="Arial"/>
          <w:sz w:val="20"/>
          <w:szCs w:val="20"/>
        </w:rPr>
        <w:t xml:space="preserve">nositelj zahvata planira uz postojeće gospodarske objekte, izgradnju nadstrešnice sa sušarom za biomasu i tri nadstrešnice za smještaj biomase u balama. Ispod nadstrešnica otvorenog tipa je predviđen smještaj travne biomase, a </w:t>
      </w:r>
      <w:r w:rsidRPr="00D554C5">
        <w:rPr>
          <w:rFonts w:ascii="Arial" w:hAnsi="Arial" w:cs="Arial"/>
          <w:sz w:val="20"/>
          <w:szCs w:val="20"/>
        </w:rPr>
        <w:lastRenderedPageBreak/>
        <w:t>ispod nadstrešnice sa sušarom je predviđeno sušenje biomase vrućim zrakom zasićenim vodenom parom, koji se dobiva spaljivanjem biomase. Osnovna sirovina za proizvodnju peleta je slama kao poljoprivredni nusproizvod koji se sastoji od suhih peteljki stabljike žitarica i uljarica, nakon uklanjanja zrna i pljeve. Dopremljene bale trava i slame se odlažu pod nadstrešnicama, prije dopreme u prijemni koš sušionice biomase. U sušionici biomase vršiti će se sušenje trava na vlagu koje je  pogodna za peletiranje. Sušenje će se odvijati u novoizgrađenoj nadstrešnici uz postojeći objekt. Opskrba toplinskom energijom riješiti će se proizvodnjom toplinske energije u obliku tople vode u vlastitoj kotlovnici snage 370 kV, u kojoj će se peleti trave i slame koristiti kao gorivo te dozirati u plemenik za pelete. Na osnovi procijenjene ulazne vlage sirovine i potrebne završne vlage uz potrošnju od 250 t/god. peleta slame, proizvoditi će se 1240 MWh toplinske energije.</w:t>
      </w:r>
      <w:r>
        <w:rPr>
          <w:rFonts w:ascii="Arial" w:hAnsi="Arial" w:cs="Arial"/>
          <w:sz w:val="20"/>
          <w:szCs w:val="20"/>
        </w:rPr>
        <w:t xml:space="preserve"> Na čestici postoje komunalni priključci. Otpad će se odvoziti  putem ovlaštene tvrtke.</w:t>
      </w:r>
    </w:p>
    <w:p w14:paraId="774B4EEC" w14:textId="77777777" w:rsidR="00593C7F" w:rsidRDefault="00593C7F" w:rsidP="00593C7F">
      <w:pPr>
        <w:pStyle w:val="Bezproreda"/>
        <w:jc w:val="both"/>
        <w:rPr>
          <w:rFonts w:ascii="Arial" w:hAnsi="Arial" w:cs="Arial"/>
          <w:sz w:val="20"/>
          <w:szCs w:val="20"/>
        </w:rPr>
      </w:pPr>
    </w:p>
    <w:p w14:paraId="1F1F9AC3" w14:textId="77777777" w:rsidR="00593C7F" w:rsidRDefault="00593C7F" w:rsidP="00593C7F">
      <w:pPr>
        <w:pStyle w:val="Bezproreda"/>
        <w:jc w:val="both"/>
        <w:rPr>
          <w:rFonts w:ascii="Arial" w:hAnsi="Arial" w:cs="Arial"/>
          <w:sz w:val="20"/>
          <w:szCs w:val="20"/>
        </w:rPr>
      </w:pPr>
      <w:r>
        <w:rPr>
          <w:rFonts w:ascii="Arial" w:hAnsi="Arial" w:cs="Arial"/>
          <w:sz w:val="20"/>
          <w:szCs w:val="20"/>
        </w:rPr>
        <w:t xml:space="preserve">Planirani zahvat se nalazi unutar područja ekološke mreže temeljem Uredbe o ekološkoj mreži i nadležnostima javnih ustanova za upravljanje područjima ekološke mreže („Narodne novine“, br. 80/19): Područje očuvanja značajno za ptice (POP) </w:t>
      </w:r>
      <w:r>
        <w:rPr>
          <w:rFonts w:ascii="Arial" w:hAnsi="Arial" w:cs="Arial"/>
          <w:i/>
          <w:iCs/>
          <w:sz w:val="20"/>
          <w:szCs w:val="20"/>
        </w:rPr>
        <w:t>HR1000005 Jelas polje</w:t>
      </w:r>
      <w:r>
        <w:rPr>
          <w:rFonts w:ascii="Arial" w:hAnsi="Arial" w:cs="Arial"/>
          <w:sz w:val="20"/>
          <w:szCs w:val="20"/>
        </w:rPr>
        <w:t>.</w:t>
      </w:r>
    </w:p>
    <w:p w14:paraId="1A80FB64" w14:textId="77777777" w:rsidR="00593C7F" w:rsidRDefault="00593C7F" w:rsidP="00593C7F">
      <w:pPr>
        <w:pStyle w:val="Bezproreda"/>
        <w:jc w:val="both"/>
        <w:rPr>
          <w:rFonts w:ascii="Arial" w:hAnsi="Arial" w:cs="Arial"/>
          <w:sz w:val="20"/>
          <w:szCs w:val="20"/>
        </w:rPr>
      </w:pPr>
    </w:p>
    <w:p w14:paraId="6138E8EB" w14:textId="38691A42" w:rsidR="00593C7F" w:rsidRDefault="00593C7F" w:rsidP="00593C7F">
      <w:pPr>
        <w:pStyle w:val="Bezproreda"/>
        <w:jc w:val="both"/>
        <w:rPr>
          <w:rFonts w:ascii="Arial" w:hAnsi="Arial" w:cs="Arial"/>
          <w:sz w:val="20"/>
          <w:szCs w:val="20"/>
        </w:rPr>
      </w:pPr>
      <w:r>
        <w:rPr>
          <w:rFonts w:ascii="Arial" w:hAnsi="Arial" w:cs="Arial"/>
          <w:sz w:val="20"/>
          <w:szCs w:val="20"/>
        </w:rPr>
        <w:t xml:space="preserve">Prema karti podataka Ministarstva gospodarstva i održivog razvoja, izgradnjom predmetnog zahvata doći će do gubitka od oko 0,22 ha staništa CLC klase 211 Nenavodnjavano obradivo zemljište. Lokacija zahvata predstavlja pogodno stanište za ciljane vrste ptica kao što su roda </w:t>
      </w:r>
      <w:r w:rsidRPr="00D554C5">
        <w:rPr>
          <w:rFonts w:ascii="Arial" w:hAnsi="Arial" w:cs="Arial"/>
          <w:i/>
          <w:iCs/>
          <w:sz w:val="20"/>
          <w:szCs w:val="20"/>
        </w:rPr>
        <w:t>(Ciconia ciconia)</w:t>
      </w:r>
      <w:r>
        <w:rPr>
          <w:rFonts w:ascii="Arial" w:hAnsi="Arial" w:cs="Arial"/>
          <w:sz w:val="20"/>
          <w:szCs w:val="20"/>
        </w:rPr>
        <w:t xml:space="preserve">, eja strnjarica </w:t>
      </w:r>
      <w:r w:rsidRPr="00D554C5">
        <w:rPr>
          <w:rFonts w:ascii="Arial" w:hAnsi="Arial" w:cs="Arial"/>
          <w:i/>
          <w:iCs/>
          <w:sz w:val="20"/>
          <w:szCs w:val="20"/>
        </w:rPr>
        <w:t>(Circus cyaneus)</w:t>
      </w:r>
      <w:r>
        <w:rPr>
          <w:rFonts w:ascii="Arial" w:hAnsi="Arial" w:cs="Arial"/>
          <w:sz w:val="20"/>
          <w:szCs w:val="20"/>
        </w:rPr>
        <w:t xml:space="preserve">, rusi svračak </w:t>
      </w:r>
      <w:r w:rsidRPr="00D554C5">
        <w:rPr>
          <w:rFonts w:ascii="Arial" w:hAnsi="Arial" w:cs="Arial"/>
          <w:i/>
          <w:iCs/>
          <w:sz w:val="20"/>
          <w:szCs w:val="20"/>
        </w:rPr>
        <w:t>(Lanius collurio)</w:t>
      </w:r>
      <w:r>
        <w:rPr>
          <w:rFonts w:ascii="Arial" w:hAnsi="Arial" w:cs="Arial"/>
          <w:sz w:val="20"/>
          <w:szCs w:val="20"/>
        </w:rPr>
        <w:t xml:space="preserve">, sivi svračak </w:t>
      </w:r>
      <w:r w:rsidRPr="00D554C5">
        <w:rPr>
          <w:rFonts w:ascii="Arial" w:hAnsi="Arial" w:cs="Arial"/>
          <w:i/>
          <w:iCs/>
          <w:sz w:val="20"/>
          <w:szCs w:val="20"/>
        </w:rPr>
        <w:t>(Lanus minor</w:t>
      </w:r>
      <w:r>
        <w:rPr>
          <w:rFonts w:ascii="Arial" w:hAnsi="Arial" w:cs="Arial"/>
          <w:sz w:val="20"/>
          <w:szCs w:val="20"/>
        </w:rPr>
        <w:t xml:space="preserve">) i pjegava grmuša </w:t>
      </w:r>
      <w:r w:rsidRPr="00D554C5">
        <w:rPr>
          <w:rFonts w:ascii="Arial" w:hAnsi="Arial" w:cs="Arial"/>
          <w:i/>
          <w:iCs/>
          <w:sz w:val="20"/>
          <w:szCs w:val="20"/>
        </w:rPr>
        <w:t>(Sylvia nisoria)</w:t>
      </w:r>
      <w:r>
        <w:rPr>
          <w:rFonts w:ascii="Arial" w:hAnsi="Arial" w:cs="Arial"/>
          <w:sz w:val="20"/>
          <w:szCs w:val="20"/>
        </w:rPr>
        <w:t>.  S obzirom na ukupnu površinu staništa pogodnih za ove vrste (između 27000 i 30000 ha) unutar predmetnog POP, radi se o utjecaju koji nije značajan, niti će zahvat imati značajan negativan kumulativan utjecaj s već provedenim i planiranim (odobrenim) zahvatima.</w:t>
      </w:r>
    </w:p>
    <w:p w14:paraId="5F4C650C" w14:textId="77777777" w:rsidR="00593C7F" w:rsidRDefault="00593C7F" w:rsidP="00593C7F">
      <w:pPr>
        <w:pStyle w:val="Bezproreda"/>
        <w:jc w:val="both"/>
        <w:rPr>
          <w:rFonts w:ascii="Arial" w:hAnsi="Arial" w:cs="Arial"/>
          <w:sz w:val="20"/>
          <w:szCs w:val="20"/>
        </w:rPr>
      </w:pPr>
    </w:p>
    <w:p w14:paraId="10CD69DC" w14:textId="1F491AD9" w:rsidR="00593C7F" w:rsidRDefault="00593C7F" w:rsidP="00593C7F">
      <w:pPr>
        <w:pStyle w:val="Bezproreda"/>
        <w:jc w:val="both"/>
        <w:rPr>
          <w:rFonts w:ascii="Arial" w:hAnsi="Arial" w:cs="Arial"/>
          <w:sz w:val="20"/>
          <w:szCs w:val="20"/>
        </w:rPr>
      </w:pPr>
      <w:r>
        <w:rPr>
          <w:rFonts w:ascii="Arial" w:hAnsi="Arial" w:cs="Arial"/>
          <w:sz w:val="20"/>
          <w:szCs w:val="20"/>
        </w:rPr>
        <w:t>Slijedom iznijetog u provedenom postupku, analizom mogućih značajnih negativnih utjecaja predmetnog zahvata na ciljeve očuvanja i cjelovitost područja ekološke mreže, uvažavajući gore navedeno mišljenje Zavoda za zaštitu okoliša i prirode,  Prethodnom ocjenom prihvatljivosti za ekološku mrežu za namjeravani zahvat  izgradnje  građevina poljoprivredne namjene nadstrešnic</w:t>
      </w:r>
      <w:r w:rsidR="00D3719B">
        <w:rPr>
          <w:rFonts w:ascii="Arial" w:hAnsi="Arial" w:cs="Arial"/>
          <w:sz w:val="20"/>
          <w:szCs w:val="20"/>
        </w:rPr>
        <w:t>e</w:t>
      </w:r>
      <w:r>
        <w:rPr>
          <w:rFonts w:ascii="Arial" w:hAnsi="Arial" w:cs="Arial"/>
          <w:sz w:val="20"/>
          <w:szCs w:val="20"/>
        </w:rPr>
        <w:t xml:space="preserve"> sa sušarom za biomasu i 3 nadstrešnice za smještaj biomase u balama  </w:t>
      </w:r>
      <w:r>
        <w:rPr>
          <w:rFonts w:ascii="Arial" w:hAnsi="Arial" w:cs="Arial"/>
          <w:bCs/>
          <w:sz w:val="20"/>
          <w:szCs w:val="20"/>
        </w:rPr>
        <w:t>na kčbr. 4001/2 k.o. Sibinj,</w:t>
      </w:r>
      <w:r>
        <w:rPr>
          <w:rFonts w:ascii="Arial" w:hAnsi="Arial" w:cs="Arial"/>
          <w:sz w:val="20"/>
          <w:szCs w:val="20"/>
        </w:rPr>
        <w:t xml:space="preserve">  uz pridržavanje važećih propisa iz područja zaštite okoliša, voda i održivog gospodarenja otpadom, može se isključiti mogućnost značajnih negativnih utjecaja  na ciljeve očuvanja i cjelovitost područja ekološke mreže, te se smatra  da je zahvat prihvatljiv, pa je stoga riješeno kao u izreci. </w:t>
      </w:r>
    </w:p>
    <w:p w14:paraId="3362D100" w14:textId="77777777" w:rsidR="00593C7F" w:rsidRDefault="00593C7F" w:rsidP="00593C7F">
      <w:pPr>
        <w:pStyle w:val="Bezproreda"/>
        <w:jc w:val="both"/>
        <w:rPr>
          <w:rFonts w:ascii="Arial" w:hAnsi="Arial" w:cs="Arial"/>
          <w:sz w:val="20"/>
          <w:szCs w:val="20"/>
        </w:rPr>
      </w:pPr>
      <w:r>
        <w:rPr>
          <w:rFonts w:ascii="Arial" w:hAnsi="Arial" w:cs="Arial"/>
          <w:sz w:val="20"/>
          <w:szCs w:val="20"/>
        </w:rPr>
        <w:t>U skladu s navedenim,  za planirani predmetni zahvat nije potrebno provesti postupak Glavne ocjene zahvata za ekološku mrežu.</w:t>
      </w:r>
    </w:p>
    <w:p w14:paraId="70F8A9B0" w14:textId="77777777" w:rsidR="00593C7F" w:rsidRDefault="00593C7F" w:rsidP="00593C7F">
      <w:pPr>
        <w:pStyle w:val="Bezproreda"/>
        <w:jc w:val="both"/>
        <w:rPr>
          <w:rFonts w:ascii="Arial" w:hAnsi="Arial" w:cs="Arial"/>
          <w:sz w:val="20"/>
          <w:szCs w:val="20"/>
        </w:rPr>
      </w:pPr>
    </w:p>
    <w:p w14:paraId="0E92CA17" w14:textId="77777777" w:rsidR="00593C7F" w:rsidRDefault="00593C7F" w:rsidP="00593C7F">
      <w:pPr>
        <w:pStyle w:val="Bezproreda"/>
        <w:jc w:val="both"/>
        <w:rPr>
          <w:rFonts w:ascii="Arial" w:hAnsi="Arial" w:cs="Arial"/>
          <w:sz w:val="20"/>
          <w:szCs w:val="20"/>
        </w:rPr>
      </w:pPr>
      <w:r>
        <w:rPr>
          <w:rFonts w:ascii="Arial" w:hAnsi="Arial" w:cs="Arial"/>
          <w:sz w:val="20"/>
          <w:szCs w:val="20"/>
        </w:rPr>
        <w:t>Člankom 29.  stavak 2. Zakona o zaštiti prirode, propisano je da upravno tijelo provodi prethodnu ocjenu za zahvate za koje tijelo područne (regionalne) samouprave nadležno za poslove zaštite okoliša,  provodi postupak procjene utjecaja na okoliš ili postupak ocjene o potrebi procjene utjecaja na okoliš prema posebnom propisu iz područja zaštite okoliša, zatim za zahvate koji mogu imati značajan negativan utjecaj na ciljeve očuvanja i cjelovitost područja ekološke mreže, osim za zahvate iz stavka 1. istog članka.</w:t>
      </w:r>
    </w:p>
    <w:p w14:paraId="305F7F4A" w14:textId="77777777" w:rsidR="00593C7F" w:rsidRDefault="00593C7F" w:rsidP="00593C7F">
      <w:pPr>
        <w:pStyle w:val="Bezproreda"/>
        <w:jc w:val="both"/>
        <w:rPr>
          <w:rFonts w:ascii="Arial" w:hAnsi="Arial" w:cs="Arial"/>
          <w:sz w:val="20"/>
          <w:szCs w:val="20"/>
        </w:rPr>
      </w:pPr>
    </w:p>
    <w:p w14:paraId="5AA316CB" w14:textId="77777777" w:rsidR="00593C7F" w:rsidRDefault="00593C7F" w:rsidP="00593C7F">
      <w:pPr>
        <w:pStyle w:val="Bezproreda"/>
        <w:jc w:val="both"/>
        <w:rPr>
          <w:rFonts w:ascii="Arial" w:hAnsi="Arial" w:cs="Arial"/>
          <w:sz w:val="20"/>
          <w:szCs w:val="20"/>
        </w:rPr>
      </w:pPr>
      <w:r>
        <w:rPr>
          <w:rFonts w:ascii="Arial" w:hAnsi="Arial" w:cs="Arial"/>
          <w:sz w:val="20"/>
          <w:szCs w:val="20"/>
        </w:rPr>
        <w:t xml:space="preserve">Člankom 30. stavak 4. Zakona o zaštiti prirode, propisano je, ako nadležno tijelo isključi mogućnost značajnih negativnih utjecaja na ciljeve očuvanja i cjelovitost područja ekološke mreže, donosi rješenje da je zahvat prihvatljiv za ekološku mrežu. U skladu s navedenim, riješeno je kao u  izreci ovog Rješenja. </w:t>
      </w:r>
    </w:p>
    <w:p w14:paraId="3DAE4C94" w14:textId="77777777" w:rsidR="00593C7F" w:rsidRDefault="00593C7F" w:rsidP="00593C7F">
      <w:pPr>
        <w:pStyle w:val="Bezproreda"/>
        <w:jc w:val="both"/>
        <w:rPr>
          <w:rFonts w:ascii="Arial" w:hAnsi="Arial" w:cs="Arial"/>
          <w:sz w:val="20"/>
          <w:szCs w:val="20"/>
        </w:rPr>
      </w:pPr>
      <w:r>
        <w:rPr>
          <w:rFonts w:ascii="Arial" w:hAnsi="Arial" w:cs="Arial"/>
          <w:sz w:val="20"/>
          <w:szCs w:val="20"/>
        </w:rPr>
        <w:t>Člankom 30. stavak 6. Zakona o zaštiti prirode, propisano je da rješenje iz stavaka 4. i 5. ovog članka sadrži podatke o zahvatu, podatke o ekološkoj mreži i obrazloženje razloga na temelju kojih je isključena mogućnost značajnih negativnih utjecaja zahvata na ciljeve očuvanja i cjelovitost područja ekološke mreže ili obrazloženje razloga  na temelju kojih je utvrđena obveza provedbe Glavne ocjene.</w:t>
      </w:r>
    </w:p>
    <w:p w14:paraId="62BC93A5" w14:textId="77777777" w:rsidR="00593C7F" w:rsidRDefault="00593C7F" w:rsidP="00593C7F">
      <w:pPr>
        <w:pStyle w:val="Bezproreda"/>
        <w:jc w:val="both"/>
        <w:rPr>
          <w:rFonts w:ascii="Arial" w:hAnsi="Arial" w:cs="Arial"/>
          <w:sz w:val="20"/>
          <w:szCs w:val="20"/>
        </w:rPr>
      </w:pPr>
    </w:p>
    <w:p w14:paraId="7778FE86" w14:textId="77777777" w:rsidR="00593C7F" w:rsidRDefault="00593C7F" w:rsidP="00593C7F">
      <w:pPr>
        <w:pStyle w:val="Bezproreda"/>
        <w:jc w:val="both"/>
        <w:rPr>
          <w:rFonts w:ascii="Arial" w:hAnsi="Arial" w:cs="Arial"/>
          <w:sz w:val="20"/>
          <w:szCs w:val="20"/>
        </w:rPr>
      </w:pPr>
      <w:r>
        <w:rPr>
          <w:rFonts w:ascii="Arial" w:hAnsi="Arial" w:cs="Arial"/>
          <w:sz w:val="20"/>
          <w:szCs w:val="20"/>
        </w:rPr>
        <w:t>Točka 2. ovog rješenja u skladu je s odredbom člankom 43. stavak 1. Zakona o zaštiti prirode, kojom je propisano da se rješenje iz članka 30. stavak 4. istog Zakona,  izdaje na rok  od  četiri  godine.</w:t>
      </w:r>
    </w:p>
    <w:p w14:paraId="77C955DC" w14:textId="77777777" w:rsidR="00593C7F" w:rsidRDefault="00593C7F" w:rsidP="00593C7F">
      <w:pPr>
        <w:pStyle w:val="Bezproreda"/>
        <w:jc w:val="both"/>
        <w:rPr>
          <w:rFonts w:ascii="Arial" w:hAnsi="Arial" w:cs="Arial"/>
          <w:sz w:val="20"/>
          <w:szCs w:val="20"/>
        </w:rPr>
      </w:pPr>
    </w:p>
    <w:p w14:paraId="01EFCA71" w14:textId="77777777" w:rsidR="00593C7F" w:rsidRDefault="00593C7F" w:rsidP="00593C7F">
      <w:pPr>
        <w:pStyle w:val="Bezproreda"/>
        <w:jc w:val="both"/>
        <w:rPr>
          <w:rFonts w:ascii="Arial" w:hAnsi="Arial" w:cs="Arial"/>
          <w:sz w:val="20"/>
          <w:szCs w:val="20"/>
        </w:rPr>
      </w:pPr>
      <w:r>
        <w:rPr>
          <w:rFonts w:ascii="Arial" w:hAnsi="Arial" w:cs="Arial"/>
          <w:sz w:val="20"/>
          <w:szCs w:val="20"/>
        </w:rPr>
        <w:t>Točka 3. ovog rješenja u skladu je s odredbom člankom 44. stavak 3. Zakona o zaštiti prirode, kojom je propisano da nadležno tijelo objavljuje rješenje iz članka 30. stavak 4. istog Zakona,  na internetskim stranicama Brodsko-posavske županije (</w:t>
      </w:r>
      <w:hyperlink r:id="rId7" w:history="1">
        <w:r>
          <w:rPr>
            <w:rStyle w:val="Hiperveza"/>
            <w:rFonts w:ascii="Arial" w:hAnsi="Arial" w:cs="Arial"/>
            <w:sz w:val="20"/>
            <w:szCs w:val="20"/>
          </w:rPr>
          <w:t>www.bpz.hr</w:t>
        </w:r>
      </w:hyperlink>
      <w:r>
        <w:rPr>
          <w:rFonts w:ascii="Arial" w:hAnsi="Arial" w:cs="Arial"/>
          <w:sz w:val="20"/>
          <w:szCs w:val="20"/>
        </w:rPr>
        <w:t>).</w:t>
      </w:r>
    </w:p>
    <w:p w14:paraId="67360BB8" w14:textId="77777777" w:rsidR="00593C7F" w:rsidRDefault="00593C7F" w:rsidP="00593C7F">
      <w:pPr>
        <w:pStyle w:val="Bezproreda"/>
        <w:jc w:val="both"/>
        <w:rPr>
          <w:rFonts w:ascii="Arial" w:hAnsi="Arial" w:cs="Arial"/>
          <w:sz w:val="20"/>
          <w:szCs w:val="20"/>
        </w:rPr>
      </w:pPr>
      <w:r>
        <w:rPr>
          <w:rFonts w:ascii="Arial" w:hAnsi="Arial" w:cs="Arial"/>
          <w:sz w:val="20"/>
          <w:szCs w:val="20"/>
        </w:rPr>
        <w:t xml:space="preserve">U skladu sa odredbama stavaka 1. i 2. članka 44.  Zakona o zaštiti prirode, ovo Rješenje se dostavlja Ministarstvu gospodarstva i održivog razvoja i Inspekciji zaštite prirode. </w:t>
      </w:r>
    </w:p>
    <w:p w14:paraId="1F6C744E" w14:textId="7A2AFF6B" w:rsidR="00593C7F" w:rsidRDefault="00593C7F" w:rsidP="00593C7F">
      <w:pPr>
        <w:pStyle w:val="Bezproreda"/>
        <w:jc w:val="both"/>
        <w:rPr>
          <w:rFonts w:ascii="Arial" w:hAnsi="Arial" w:cs="Arial"/>
          <w:bCs/>
          <w:sz w:val="20"/>
          <w:szCs w:val="20"/>
        </w:rPr>
      </w:pPr>
    </w:p>
    <w:p w14:paraId="5E95AB3F" w14:textId="77777777" w:rsidR="00593C7F" w:rsidRDefault="00593C7F" w:rsidP="00593C7F">
      <w:pPr>
        <w:pStyle w:val="Bezproreda"/>
        <w:jc w:val="both"/>
        <w:rPr>
          <w:rFonts w:ascii="Arial" w:hAnsi="Arial" w:cs="Arial"/>
          <w:bCs/>
          <w:sz w:val="20"/>
          <w:szCs w:val="20"/>
        </w:rPr>
      </w:pPr>
    </w:p>
    <w:p w14:paraId="1EB69261" w14:textId="77777777" w:rsidR="00593C7F" w:rsidRDefault="00593C7F" w:rsidP="00593C7F">
      <w:pPr>
        <w:pStyle w:val="Bezproreda"/>
        <w:jc w:val="both"/>
        <w:rPr>
          <w:rFonts w:ascii="Arial" w:hAnsi="Arial" w:cs="Arial"/>
          <w:b/>
          <w:sz w:val="20"/>
          <w:szCs w:val="20"/>
          <w:u w:val="single"/>
        </w:rPr>
      </w:pPr>
      <w:r>
        <w:rPr>
          <w:rFonts w:ascii="Arial" w:hAnsi="Arial" w:cs="Arial"/>
          <w:b/>
          <w:sz w:val="20"/>
          <w:szCs w:val="20"/>
          <w:u w:val="single"/>
        </w:rPr>
        <w:lastRenderedPageBreak/>
        <w:t>Uputa o pravnom lijeku</w:t>
      </w:r>
    </w:p>
    <w:p w14:paraId="5D1A55FF" w14:textId="77777777" w:rsidR="00593C7F" w:rsidRDefault="00593C7F" w:rsidP="00593C7F">
      <w:pPr>
        <w:pStyle w:val="Bezproreda"/>
        <w:jc w:val="both"/>
        <w:rPr>
          <w:rFonts w:ascii="Arial" w:hAnsi="Arial" w:cs="Arial"/>
          <w:sz w:val="20"/>
          <w:szCs w:val="20"/>
        </w:rPr>
      </w:pPr>
      <w:r>
        <w:rPr>
          <w:rFonts w:ascii="Arial" w:hAnsi="Arial" w:cs="Arial"/>
          <w:sz w:val="20"/>
          <w:szCs w:val="20"/>
        </w:rPr>
        <w:t>Protiv ovog Rješenja može se izjaviti žalba Ministarstvu gospodarstva i održivog razvoja, Zagreb, Radnička cesta 80, u roku od 15 dana od dana primitka Rješenja.</w:t>
      </w:r>
    </w:p>
    <w:p w14:paraId="566211C5" w14:textId="77777777" w:rsidR="00593C7F" w:rsidRDefault="00593C7F" w:rsidP="00593C7F">
      <w:pPr>
        <w:pStyle w:val="Bezproreda"/>
        <w:jc w:val="both"/>
        <w:rPr>
          <w:rFonts w:ascii="Arial" w:hAnsi="Arial" w:cs="Arial"/>
          <w:sz w:val="20"/>
          <w:szCs w:val="20"/>
        </w:rPr>
      </w:pPr>
      <w:r>
        <w:rPr>
          <w:rFonts w:ascii="Arial" w:hAnsi="Arial" w:cs="Arial"/>
          <w:sz w:val="20"/>
          <w:szCs w:val="20"/>
        </w:rPr>
        <w:t xml:space="preserve">Žalba se predaje Upravnom odjelu za graditeljstvo, infrastrukturu i zaštitu okoliša Brodsko-posavske županije, neposredno u pisanom obliku ili usmeno u zapisnik, ili se šalje poštom, odnosno dostavlja elektronički. </w:t>
      </w:r>
    </w:p>
    <w:p w14:paraId="0B508F42" w14:textId="77777777" w:rsidR="00593C7F" w:rsidRDefault="00593C7F" w:rsidP="00593C7F">
      <w:pPr>
        <w:pStyle w:val="Bezproreda"/>
        <w:jc w:val="both"/>
        <w:rPr>
          <w:rFonts w:ascii="Arial" w:hAnsi="Arial" w:cs="Arial"/>
          <w:sz w:val="20"/>
          <w:szCs w:val="20"/>
        </w:rPr>
      </w:pPr>
    </w:p>
    <w:p w14:paraId="2C947E8A" w14:textId="77777777" w:rsidR="00593C7F" w:rsidRDefault="00593C7F" w:rsidP="00593C7F">
      <w:pPr>
        <w:pStyle w:val="Bezproreda"/>
        <w:jc w:val="both"/>
        <w:rPr>
          <w:rFonts w:ascii="Arial" w:hAnsi="Arial" w:cs="Arial"/>
          <w:sz w:val="20"/>
          <w:szCs w:val="20"/>
        </w:rPr>
      </w:pPr>
    </w:p>
    <w:p w14:paraId="57C74A60" w14:textId="77777777" w:rsidR="00593C7F" w:rsidRDefault="00593C7F" w:rsidP="00593C7F">
      <w:pPr>
        <w:pStyle w:val="Bezproreda"/>
        <w:jc w:val="both"/>
        <w:rPr>
          <w:rFonts w:ascii="Arial" w:hAnsi="Arial" w:cs="Arial"/>
          <w:sz w:val="20"/>
          <w:szCs w:val="20"/>
        </w:rPr>
      </w:pPr>
    </w:p>
    <w:p w14:paraId="137D2157" w14:textId="77777777" w:rsidR="00593C7F" w:rsidRDefault="00593C7F" w:rsidP="00593C7F">
      <w:pPr>
        <w:pStyle w:val="Bezproreda"/>
        <w:jc w:val="both"/>
        <w:rPr>
          <w:rFonts w:ascii="Arial" w:hAnsi="Arial" w:cs="Arial"/>
          <w:b/>
          <w:sz w:val="20"/>
          <w:szCs w:val="20"/>
        </w:rPr>
      </w:pPr>
      <w:r>
        <w:rPr>
          <w:rFonts w:ascii="Arial" w:hAnsi="Arial" w:cs="Arial"/>
          <w:b/>
          <w:sz w:val="20"/>
          <w:szCs w:val="20"/>
        </w:rPr>
        <w:t xml:space="preserve">                                                                                          Viša savjetnica za zaštitu prirode i okoliša</w:t>
      </w:r>
      <w:r>
        <w:rPr>
          <w:rFonts w:ascii="Arial" w:hAnsi="Arial" w:cs="Arial"/>
          <w:sz w:val="20"/>
          <w:szCs w:val="20"/>
        </w:rPr>
        <w:t xml:space="preserve">  </w:t>
      </w:r>
    </w:p>
    <w:p w14:paraId="4274BFA0" w14:textId="77777777" w:rsidR="00593C7F" w:rsidRDefault="00593C7F" w:rsidP="00593C7F">
      <w:pPr>
        <w:pStyle w:val="Bezproreda"/>
        <w:jc w:val="both"/>
        <w:rPr>
          <w:rFonts w:ascii="Arial" w:hAnsi="Arial" w:cs="Arial"/>
          <w:sz w:val="20"/>
          <w:szCs w:val="20"/>
        </w:rPr>
      </w:pPr>
    </w:p>
    <w:p w14:paraId="13E83FBC" w14:textId="77777777" w:rsidR="00593C7F" w:rsidRDefault="00593C7F" w:rsidP="00593C7F">
      <w:pPr>
        <w:pStyle w:val="Bezproreda"/>
        <w:jc w:val="both"/>
        <w:rPr>
          <w:rFonts w:ascii="Arial" w:hAnsi="Arial" w:cs="Arial"/>
          <w:sz w:val="20"/>
          <w:szCs w:val="20"/>
        </w:rPr>
      </w:pPr>
      <w:r>
        <w:rPr>
          <w:rFonts w:ascii="Arial" w:hAnsi="Arial" w:cs="Arial"/>
          <w:sz w:val="20"/>
          <w:szCs w:val="20"/>
        </w:rPr>
        <w:t xml:space="preserve">                                                                                                                  Ljiljana Curić, dipl.ing.</w:t>
      </w:r>
    </w:p>
    <w:p w14:paraId="4FE1C445" w14:textId="77777777" w:rsidR="00593C7F" w:rsidRDefault="00593C7F" w:rsidP="00593C7F">
      <w:pPr>
        <w:pStyle w:val="Bezproreda"/>
        <w:jc w:val="both"/>
        <w:rPr>
          <w:rFonts w:ascii="Arial" w:hAnsi="Arial" w:cs="Arial"/>
          <w:b/>
          <w:i/>
          <w:sz w:val="18"/>
          <w:szCs w:val="18"/>
          <w:u w:val="single"/>
        </w:rPr>
      </w:pPr>
    </w:p>
    <w:p w14:paraId="23337504" w14:textId="77777777" w:rsidR="00593C7F" w:rsidRDefault="00593C7F" w:rsidP="00593C7F">
      <w:pPr>
        <w:pStyle w:val="Bezproreda"/>
        <w:jc w:val="both"/>
        <w:rPr>
          <w:rFonts w:ascii="Arial" w:hAnsi="Arial" w:cs="Arial"/>
          <w:b/>
          <w:i/>
          <w:sz w:val="18"/>
          <w:szCs w:val="18"/>
          <w:u w:val="single"/>
        </w:rPr>
      </w:pPr>
    </w:p>
    <w:p w14:paraId="081CEE27" w14:textId="77777777" w:rsidR="00593C7F" w:rsidRDefault="00593C7F" w:rsidP="00593C7F">
      <w:pPr>
        <w:pStyle w:val="Bezproreda"/>
        <w:jc w:val="both"/>
        <w:rPr>
          <w:rFonts w:ascii="Arial" w:hAnsi="Arial" w:cs="Arial"/>
          <w:b/>
          <w:i/>
          <w:sz w:val="18"/>
          <w:szCs w:val="18"/>
          <w:u w:val="single"/>
        </w:rPr>
      </w:pPr>
    </w:p>
    <w:p w14:paraId="58E8FD85" w14:textId="77777777" w:rsidR="00593C7F" w:rsidRDefault="00593C7F" w:rsidP="00593C7F">
      <w:pPr>
        <w:pStyle w:val="Bezproreda"/>
        <w:jc w:val="both"/>
        <w:rPr>
          <w:rFonts w:ascii="Arial" w:hAnsi="Arial" w:cs="Arial"/>
          <w:b/>
          <w:i/>
          <w:sz w:val="18"/>
          <w:szCs w:val="18"/>
          <w:u w:val="single"/>
        </w:rPr>
      </w:pPr>
    </w:p>
    <w:p w14:paraId="7D52CFB9" w14:textId="77777777" w:rsidR="00593C7F" w:rsidRDefault="00593C7F" w:rsidP="00593C7F">
      <w:pPr>
        <w:pStyle w:val="Bezproreda"/>
        <w:jc w:val="both"/>
        <w:rPr>
          <w:rFonts w:ascii="Arial" w:hAnsi="Arial" w:cs="Arial"/>
          <w:b/>
          <w:i/>
          <w:sz w:val="18"/>
          <w:szCs w:val="18"/>
          <w:u w:val="single"/>
        </w:rPr>
      </w:pPr>
      <w:r>
        <w:rPr>
          <w:rFonts w:ascii="Arial" w:hAnsi="Arial" w:cs="Arial"/>
          <w:b/>
          <w:i/>
          <w:sz w:val="18"/>
          <w:szCs w:val="18"/>
          <w:u w:val="single"/>
        </w:rPr>
        <w:t>Dostaviti:</w:t>
      </w:r>
    </w:p>
    <w:p w14:paraId="6CF7E870" w14:textId="77777777" w:rsidR="00593C7F" w:rsidRDefault="00593C7F" w:rsidP="00593C7F">
      <w:pPr>
        <w:pStyle w:val="Bezproreda"/>
        <w:jc w:val="both"/>
        <w:rPr>
          <w:rFonts w:ascii="Arial" w:hAnsi="Arial" w:cs="Arial"/>
          <w:bCs/>
          <w:iCs/>
          <w:sz w:val="18"/>
          <w:szCs w:val="18"/>
        </w:rPr>
      </w:pPr>
      <w:r>
        <w:rPr>
          <w:rFonts w:ascii="Arial" w:hAnsi="Arial" w:cs="Arial"/>
          <w:bCs/>
          <w:iCs/>
          <w:sz w:val="18"/>
          <w:szCs w:val="18"/>
        </w:rPr>
        <w:t>1. PROJEKTI d.o.o., Matije Gupca 32, 35000 Slavonski Brod</w:t>
      </w:r>
    </w:p>
    <w:p w14:paraId="7D9CF0D1" w14:textId="77777777" w:rsidR="00593C7F" w:rsidRDefault="00593C7F" w:rsidP="00593C7F">
      <w:pPr>
        <w:pStyle w:val="Bezproreda"/>
        <w:jc w:val="both"/>
        <w:rPr>
          <w:rFonts w:ascii="Arial" w:hAnsi="Arial" w:cs="Arial"/>
          <w:bCs/>
          <w:sz w:val="18"/>
          <w:szCs w:val="18"/>
        </w:rPr>
      </w:pPr>
      <w:r>
        <w:rPr>
          <w:rFonts w:ascii="Arial" w:hAnsi="Arial" w:cs="Arial"/>
          <w:bCs/>
          <w:sz w:val="18"/>
          <w:szCs w:val="18"/>
        </w:rPr>
        <w:t xml:space="preserve">2. Ministarstvo gospodarstva i održivog razvoja, putem: </w:t>
      </w:r>
      <w:hyperlink r:id="rId8" w:history="1">
        <w:r>
          <w:rPr>
            <w:rStyle w:val="Hiperveza"/>
            <w:rFonts w:ascii="Arial" w:hAnsi="Arial" w:cs="Arial"/>
            <w:bCs/>
            <w:sz w:val="18"/>
            <w:szCs w:val="18"/>
          </w:rPr>
          <w:t>pisarnica@mingor.hr</w:t>
        </w:r>
      </w:hyperlink>
      <w:r>
        <w:rPr>
          <w:rFonts w:ascii="Arial" w:hAnsi="Arial" w:cs="Arial"/>
          <w:bCs/>
          <w:sz w:val="18"/>
          <w:szCs w:val="18"/>
        </w:rPr>
        <w:t xml:space="preserve">; </w:t>
      </w:r>
      <w:hyperlink r:id="rId9" w:history="1">
        <w:r>
          <w:rPr>
            <w:rStyle w:val="Hiperveza"/>
            <w:rFonts w:ascii="Arial" w:hAnsi="Arial" w:cs="Arial"/>
            <w:bCs/>
            <w:sz w:val="18"/>
            <w:szCs w:val="18"/>
          </w:rPr>
          <w:t>marija.petras@mingor.hr</w:t>
        </w:r>
      </w:hyperlink>
      <w:r>
        <w:rPr>
          <w:rFonts w:ascii="Arial" w:hAnsi="Arial" w:cs="Arial"/>
          <w:bCs/>
          <w:sz w:val="18"/>
          <w:szCs w:val="18"/>
        </w:rPr>
        <w:t xml:space="preserve"> </w:t>
      </w:r>
    </w:p>
    <w:p w14:paraId="08CF83EE" w14:textId="77777777" w:rsidR="00593C7F" w:rsidRDefault="00593C7F" w:rsidP="00593C7F">
      <w:pPr>
        <w:pStyle w:val="Bezproreda"/>
        <w:jc w:val="both"/>
        <w:rPr>
          <w:rFonts w:ascii="Arial" w:hAnsi="Arial" w:cs="Arial"/>
          <w:sz w:val="18"/>
          <w:szCs w:val="18"/>
        </w:rPr>
      </w:pPr>
      <w:r>
        <w:rPr>
          <w:rFonts w:ascii="Arial" w:hAnsi="Arial" w:cs="Arial"/>
          <w:bCs/>
          <w:sz w:val="18"/>
          <w:szCs w:val="18"/>
        </w:rPr>
        <w:t xml:space="preserve">3. </w:t>
      </w:r>
      <w:r>
        <w:rPr>
          <w:rFonts w:ascii="Arial" w:hAnsi="Arial" w:cs="Arial"/>
          <w:sz w:val="18"/>
          <w:szCs w:val="18"/>
        </w:rPr>
        <w:t>Državni inspektorat, Sektor zaštite prirode, Šubićeva 29,  10000 Zagreb</w:t>
      </w:r>
    </w:p>
    <w:p w14:paraId="1C04FAA2" w14:textId="77777777" w:rsidR="00593C7F" w:rsidRDefault="00593C7F" w:rsidP="00593C7F">
      <w:pPr>
        <w:pStyle w:val="Bezproreda"/>
        <w:rPr>
          <w:rFonts w:ascii="Arial" w:hAnsi="Arial" w:cs="Arial"/>
          <w:i/>
          <w:iCs/>
          <w:sz w:val="18"/>
          <w:szCs w:val="18"/>
        </w:rPr>
      </w:pPr>
      <w:r>
        <w:rPr>
          <w:rFonts w:ascii="Arial" w:hAnsi="Arial" w:cs="Arial"/>
          <w:bCs/>
          <w:sz w:val="18"/>
          <w:szCs w:val="18"/>
        </w:rPr>
        <w:t>4</w:t>
      </w:r>
      <w:r>
        <w:rPr>
          <w:rFonts w:ascii="Arial" w:hAnsi="Arial" w:cs="Arial"/>
          <w:i/>
          <w:iCs/>
          <w:sz w:val="18"/>
          <w:szCs w:val="18"/>
        </w:rPr>
        <w:t>.  - u spis predmeta</w:t>
      </w:r>
    </w:p>
    <w:p w14:paraId="021AD490" w14:textId="77777777" w:rsidR="002B2190" w:rsidRDefault="002B2190"/>
    <w:sectPr w:rsidR="002B2190">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189C2" w14:textId="77777777" w:rsidR="00892E69" w:rsidRDefault="00892E69" w:rsidP="00593C7F">
      <w:pPr>
        <w:spacing w:after="0" w:line="240" w:lineRule="auto"/>
      </w:pPr>
      <w:r>
        <w:separator/>
      </w:r>
    </w:p>
  </w:endnote>
  <w:endnote w:type="continuationSeparator" w:id="0">
    <w:p w14:paraId="75538AD1" w14:textId="77777777" w:rsidR="00892E69" w:rsidRDefault="00892E69" w:rsidP="00593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6182418"/>
      <w:docPartObj>
        <w:docPartGallery w:val="Page Numbers (Bottom of Page)"/>
        <w:docPartUnique/>
      </w:docPartObj>
    </w:sdtPr>
    <w:sdtEndPr/>
    <w:sdtContent>
      <w:p w14:paraId="49ACC4DE" w14:textId="778B6D1B" w:rsidR="00593C7F" w:rsidRDefault="00593C7F">
        <w:pPr>
          <w:pStyle w:val="Podnoje"/>
          <w:jc w:val="center"/>
        </w:pPr>
        <w:r>
          <w:fldChar w:fldCharType="begin"/>
        </w:r>
        <w:r>
          <w:instrText>PAGE   \* MERGEFORMAT</w:instrText>
        </w:r>
        <w:r>
          <w:fldChar w:fldCharType="separate"/>
        </w:r>
        <w:r>
          <w:t>2</w:t>
        </w:r>
        <w:r>
          <w:fldChar w:fldCharType="end"/>
        </w:r>
      </w:p>
    </w:sdtContent>
  </w:sdt>
  <w:p w14:paraId="032C035E" w14:textId="77777777" w:rsidR="00593C7F" w:rsidRDefault="00593C7F">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9BED9" w14:textId="77777777" w:rsidR="00892E69" w:rsidRDefault="00892E69" w:rsidP="00593C7F">
      <w:pPr>
        <w:spacing w:after="0" w:line="240" w:lineRule="auto"/>
      </w:pPr>
      <w:r>
        <w:separator/>
      </w:r>
    </w:p>
  </w:footnote>
  <w:footnote w:type="continuationSeparator" w:id="0">
    <w:p w14:paraId="3ADF0716" w14:textId="77777777" w:rsidR="00892E69" w:rsidRDefault="00892E69" w:rsidP="00593C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C7F"/>
    <w:rsid w:val="002B2190"/>
    <w:rsid w:val="00593C7F"/>
    <w:rsid w:val="00892E69"/>
    <w:rsid w:val="008C5722"/>
    <w:rsid w:val="00A174E2"/>
    <w:rsid w:val="00C9707D"/>
    <w:rsid w:val="00D3719B"/>
    <w:rsid w:val="00EA409B"/>
    <w:rsid w:val="00F5160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5DAB7"/>
  <w15:chartTrackingRefBased/>
  <w15:docId w15:val="{CD2B7AA4-F428-4B40-8303-4A4EAD2AE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semiHidden/>
    <w:unhideWhenUsed/>
    <w:rsid w:val="00593C7F"/>
    <w:rPr>
      <w:color w:val="0563C1" w:themeColor="hyperlink"/>
      <w:u w:val="single"/>
    </w:rPr>
  </w:style>
  <w:style w:type="paragraph" w:styleId="Bezproreda">
    <w:name w:val="No Spacing"/>
    <w:uiPriority w:val="1"/>
    <w:qFormat/>
    <w:rsid w:val="00593C7F"/>
    <w:pPr>
      <w:spacing w:after="0" w:line="240" w:lineRule="auto"/>
    </w:pPr>
    <w:rPr>
      <w:rFonts w:ascii="Calibri" w:eastAsia="Times New Roman" w:hAnsi="Calibri" w:cs="Times New Roman"/>
      <w:lang w:eastAsia="hr-HR"/>
    </w:rPr>
  </w:style>
  <w:style w:type="paragraph" w:styleId="Zaglavlje">
    <w:name w:val="header"/>
    <w:basedOn w:val="Normal"/>
    <w:link w:val="ZaglavljeChar"/>
    <w:uiPriority w:val="99"/>
    <w:unhideWhenUsed/>
    <w:rsid w:val="00593C7F"/>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593C7F"/>
  </w:style>
  <w:style w:type="paragraph" w:styleId="Podnoje">
    <w:name w:val="footer"/>
    <w:basedOn w:val="Normal"/>
    <w:link w:val="PodnojeChar"/>
    <w:uiPriority w:val="99"/>
    <w:unhideWhenUsed/>
    <w:rsid w:val="00593C7F"/>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593C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sarnica@mingor.hr" TargetMode="External"/><Relationship Id="rId3" Type="http://schemas.openxmlformats.org/officeDocument/2006/relationships/webSettings" Target="webSettings.xml"/><Relationship Id="rId7" Type="http://schemas.openxmlformats.org/officeDocument/2006/relationships/hyperlink" Target="http://www.bpz.hr"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mailto:marija.petras@mingor.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Pages>
  <Words>1389</Words>
  <Characters>7919</Characters>
  <Application>Microsoft Office Word</Application>
  <DocSecurity>0</DocSecurity>
  <Lines>65</Lines>
  <Paragraphs>18</Paragraphs>
  <ScaleCrop>false</ScaleCrop>
  <Company/>
  <LinksUpToDate>false</LinksUpToDate>
  <CharactersWithSpaces>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Curić</dc:creator>
  <cp:keywords/>
  <dc:description/>
  <cp:lastModifiedBy>Ljiljana Curić</cp:lastModifiedBy>
  <cp:revision>6</cp:revision>
  <cp:lastPrinted>2022-04-25T11:52:00Z</cp:lastPrinted>
  <dcterms:created xsi:type="dcterms:W3CDTF">2022-04-25T09:14:00Z</dcterms:created>
  <dcterms:modified xsi:type="dcterms:W3CDTF">2022-04-26T06:06:00Z</dcterms:modified>
</cp:coreProperties>
</file>