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B319A" w:rsidRDefault="00EB319A" w:rsidP="00EB319A">
      <w:pPr>
        <w:pStyle w:val="Bezproreda"/>
        <w:rPr>
          <w:rFonts w:ascii="Tahoma" w:hAnsi="Tahoma" w:cs="Tahoma"/>
          <w:b/>
          <w:bCs/>
          <w:sz w:val="18"/>
          <w:szCs w:val="18"/>
        </w:rPr>
      </w:pPr>
    </w:p>
    <w:p w:rsidR="00EB319A" w:rsidRDefault="00EB319A" w:rsidP="00EB319A">
      <w:pPr>
        <w:spacing w:after="0" w:line="240" w:lineRule="auto"/>
        <w:rPr>
          <w:rFonts w:ascii="Arial Narrow" w:eastAsia="Times New Roman" w:hAnsi="Arial Narrow" w:cs="Times New Roman"/>
          <w:b/>
          <w:kern w:val="0"/>
          <w:sz w:val="20"/>
          <w:szCs w:val="20"/>
          <w:lang w:eastAsia="hr-HR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hr-HR"/>
          <w14:ligatures w14:val="none"/>
        </w:rPr>
        <w:t xml:space="preserve">   </w:t>
      </w:r>
      <w:r>
        <w:rPr>
          <w:rFonts w:ascii="Calibri" w:eastAsia="Times New Roman" w:hAnsi="Calibri" w:cs="Times New Roman"/>
          <w:kern w:val="0"/>
          <w:sz w:val="20"/>
          <w:szCs w:val="20"/>
          <w:lang w:eastAsia="hr-HR"/>
          <w14:ligatures w14:val="none"/>
        </w:rPr>
        <w:t xml:space="preserve">              </w:t>
      </w:r>
      <w:r>
        <w:rPr>
          <w:rFonts w:ascii="Calibri" w:eastAsia="Times New Roman" w:hAnsi="Calibri" w:cs="Times New Roman"/>
          <w:noProof/>
          <w:kern w:val="0"/>
          <w:sz w:val="20"/>
          <w:szCs w:val="20"/>
          <w:lang w:eastAsia="hr-HR"/>
          <w14:ligatures w14:val="none"/>
        </w:rPr>
        <w:drawing>
          <wp:inline distT="0" distB="0" distL="0" distR="0" wp14:anchorId="08A8E1D8" wp14:editId="51ECD670">
            <wp:extent cx="600075" cy="695325"/>
            <wp:effectExtent l="0" t="0" r="9525" b="9525"/>
            <wp:docPr id="112180888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Times New Roman"/>
          <w:kern w:val="0"/>
          <w:sz w:val="20"/>
          <w:szCs w:val="20"/>
          <w:lang w:eastAsia="hr-HR"/>
          <w14:ligatures w14:val="none"/>
        </w:rPr>
        <w:t xml:space="preserve">  </w:t>
      </w:r>
    </w:p>
    <w:p w:rsidR="00EB319A" w:rsidRDefault="00EB319A" w:rsidP="00EB319A">
      <w:pPr>
        <w:spacing w:after="0" w:line="240" w:lineRule="auto"/>
        <w:rPr>
          <w:rFonts w:ascii="Tahoma" w:eastAsia="Times New Roman" w:hAnsi="Tahoma" w:cs="Tahoma"/>
          <w:b/>
          <w:bCs/>
          <w:kern w:val="0"/>
          <w:sz w:val="18"/>
          <w:szCs w:val="18"/>
          <w:lang w:eastAsia="hr-HR"/>
          <w14:ligatures w14:val="none"/>
        </w:rPr>
      </w:pPr>
      <w:r>
        <w:rPr>
          <w:rFonts w:ascii="Tahoma" w:eastAsia="Times New Roman" w:hAnsi="Tahoma" w:cs="Tahoma"/>
          <w:b/>
          <w:bCs/>
          <w:kern w:val="0"/>
          <w:sz w:val="18"/>
          <w:szCs w:val="18"/>
          <w:lang w:eastAsia="hr-HR"/>
          <w14:ligatures w14:val="none"/>
        </w:rPr>
        <w:t xml:space="preserve">   </w:t>
      </w:r>
      <w:r>
        <w:rPr>
          <w:rFonts w:ascii="Tahoma" w:eastAsia="Times New Roman" w:hAnsi="Tahoma" w:cs="Tahoma"/>
          <w:b/>
          <w:bCs/>
          <w:kern w:val="0"/>
          <w:sz w:val="18"/>
          <w:szCs w:val="18"/>
          <w:lang w:val="de-DE" w:eastAsia="hr-HR"/>
          <w14:ligatures w14:val="none"/>
        </w:rPr>
        <w:t>REPUBLIKA HRVATSKA</w:t>
      </w:r>
    </w:p>
    <w:p w:rsidR="00EB319A" w:rsidRDefault="00EB319A" w:rsidP="00EB319A">
      <w:pPr>
        <w:spacing w:after="0" w:line="240" w:lineRule="auto"/>
        <w:rPr>
          <w:rFonts w:ascii="Tahoma" w:eastAsia="Times New Roman" w:hAnsi="Tahoma" w:cs="Tahoma"/>
          <w:b/>
          <w:kern w:val="0"/>
          <w:sz w:val="18"/>
          <w:szCs w:val="18"/>
          <w:lang w:eastAsia="hr-HR"/>
          <w14:ligatures w14:val="none"/>
        </w:rPr>
      </w:pPr>
      <w:r>
        <w:rPr>
          <w:rFonts w:ascii="Tahoma" w:eastAsia="Times New Roman" w:hAnsi="Tahoma" w:cs="Tahoma"/>
          <w:b/>
          <w:kern w:val="0"/>
          <w:sz w:val="18"/>
          <w:szCs w:val="18"/>
          <w:lang w:eastAsia="hr-HR"/>
          <w14:ligatures w14:val="none"/>
        </w:rPr>
        <w:t xml:space="preserve">   BRODSKO-POSAVSKA ŽUPANIJA </w:t>
      </w:r>
    </w:p>
    <w:p w:rsidR="00EB319A" w:rsidRDefault="00EB319A" w:rsidP="00EB319A">
      <w:pPr>
        <w:spacing w:after="0" w:line="240" w:lineRule="auto"/>
        <w:rPr>
          <w:rFonts w:ascii="Tahoma" w:eastAsia="Times New Roman" w:hAnsi="Tahoma" w:cs="Tahoma"/>
          <w:b/>
          <w:bCs/>
          <w:kern w:val="0"/>
          <w:sz w:val="18"/>
          <w:szCs w:val="18"/>
          <w:lang w:eastAsia="hr-HR"/>
          <w14:ligatures w14:val="none"/>
        </w:rPr>
      </w:pPr>
      <w:r>
        <w:rPr>
          <w:rFonts w:ascii="Tahoma" w:eastAsia="Times New Roman" w:hAnsi="Tahoma" w:cs="Tahoma"/>
          <w:b/>
          <w:bCs/>
          <w:kern w:val="0"/>
          <w:sz w:val="18"/>
          <w:szCs w:val="18"/>
          <w:lang w:eastAsia="hr-HR"/>
          <w14:ligatures w14:val="none"/>
        </w:rPr>
        <w:t xml:space="preserve">   </w:t>
      </w:r>
      <w:r>
        <w:rPr>
          <w:rFonts w:ascii="Tahoma" w:eastAsia="Times New Roman" w:hAnsi="Tahoma" w:cs="Tahoma"/>
          <w:b/>
          <w:bCs/>
          <w:kern w:val="0"/>
          <w:sz w:val="18"/>
          <w:szCs w:val="18"/>
          <w:lang w:val="de-DE" w:eastAsia="hr-HR"/>
          <w14:ligatures w14:val="none"/>
        </w:rPr>
        <w:t>UPRAVNI ODJEL ZA GRADITELJSTVO,</w:t>
      </w:r>
      <w:r>
        <w:rPr>
          <w:rFonts w:ascii="Tahoma" w:eastAsia="Times New Roman" w:hAnsi="Tahoma" w:cs="Tahoma"/>
          <w:b/>
          <w:bCs/>
          <w:kern w:val="0"/>
          <w:sz w:val="18"/>
          <w:szCs w:val="18"/>
          <w:lang w:eastAsia="hr-HR"/>
          <w14:ligatures w14:val="none"/>
        </w:rPr>
        <w:t xml:space="preserve">  </w:t>
      </w:r>
    </w:p>
    <w:p w:rsidR="00EB319A" w:rsidRDefault="00EB319A" w:rsidP="00EB319A">
      <w:pPr>
        <w:spacing w:after="0" w:line="240" w:lineRule="auto"/>
        <w:rPr>
          <w:rFonts w:ascii="Tahoma" w:eastAsia="Times New Roman" w:hAnsi="Tahoma" w:cs="Tahoma"/>
          <w:b/>
          <w:kern w:val="0"/>
          <w:sz w:val="18"/>
          <w:szCs w:val="18"/>
          <w:lang w:eastAsia="hr-HR"/>
          <w14:ligatures w14:val="none"/>
        </w:rPr>
      </w:pPr>
      <w:r>
        <w:rPr>
          <w:rFonts w:ascii="Tahoma" w:eastAsia="Times New Roman" w:hAnsi="Tahoma" w:cs="Tahoma"/>
          <w:b/>
          <w:bCs/>
          <w:kern w:val="0"/>
          <w:sz w:val="18"/>
          <w:szCs w:val="18"/>
          <w:lang w:eastAsia="hr-HR"/>
          <w14:ligatures w14:val="none"/>
        </w:rPr>
        <w:t xml:space="preserve">   </w:t>
      </w:r>
      <w:r>
        <w:rPr>
          <w:rFonts w:ascii="Tahoma" w:eastAsia="Times New Roman" w:hAnsi="Tahoma" w:cs="Tahoma"/>
          <w:b/>
          <w:bCs/>
          <w:kern w:val="0"/>
          <w:sz w:val="18"/>
          <w:szCs w:val="18"/>
          <w:lang w:val="de-DE" w:eastAsia="hr-HR"/>
          <w14:ligatures w14:val="none"/>
        </w:rPr>
        <w:t xml:space="preserve">INFRASTRUKTURU  </w:t>
      </w:r>
      <w:r>
        <w:rPr>
          <w:rFonts w:ascii="Tahoma" w:eastAsia="Times New Roman" w:hAnsi="Tahoma" w:cs="Tahoma"/>
          <w:b/>
          <w:kern w:val="0"/>
          <w:sz w:val="18"/>
          <w:szCs w:val="18"/>
          <w:lang w:eastAsia="hr-HR"/>
          <w14:ligatures w14:val="none"/>
        </w:rPr>
        <w:t>I ZAŠTITU  OKOLIŠA</w:t>
      </w:r>
    </w:p>
    <w:p w:rsidR="00EB319A" w:rsidRDefault="00EB319A" w:rsidP="00EB319A">
      <w:pPr>
        <w:spacing w:after="0" w:line="240" w:lineRule="auto"/>
        <w:rPr>
          <w:rFonts w:ascii="Tahoma" w:eastAsia="Times New Roman" w:hAnsi="Tahoma" w:cs="Tahoma"/>
          <w:b/>
          <w:bCs/>
          <w:kern w:val="0"/>
          <w:sz w:val="18"/>
          <w:szCs w:val="18"/>
          <w:lang w:eastAsia="hr-HR"/>
          <w14:ligatures w14:val="none"/>
        </w:rPr>
      </w:pPr>
      <w:r>
        <w:rPr>
          <w:rFonts w:ascii="Tahoma" w:eastAsia="Times New Roman" w:hAnsi="Tahoma" w:cs="Tahoma"/>
          <w:b/>
          <w:kern w:val="0"/>
          <w:sz w:val="18"/>
          <w:szCs w:val="18"/>
          <w:lang w:eastAsia="hr-HR"/>
          <w14:ligatures w14:val="none"/>
        </w:rPr>
        <w:t xml:space="preserve">   Odsjek za infrastrukturu, zaštitu okoliša i obnovu </w:t>
      </w:r>
    </w:p>
    <w:p w:rsidR="00EB319A" w:rsidRDefault="00EB319A" w:rsidP="00EB319A">
      <w:pPr>
        <w:spacing w:after="0" w:line="240" w:lineRule="auto"/>
        <w:rPr>
          <w:rFonts w:ascii="Tahoma" w:eastAsia="Times New Roman" w:hAnsi="Tahoma" w:cs="Tahoma"/>
          <w:i/>
          <w:kern w:val="0"/>
          <w:sz w:val="16"/>
          <w:szCs w:val="16"/>
          <w:lang w:eastAsia="hr-HR"/>
          <w14:ligatures w14:val="none"/>
        </w:rPr>
      </w:pPr>
      <w:r>
        <w:rPr>
          <w:rFonts w:ascii="Tahoma" w:eastAsia="Times New Roman" w:hAnsi="Tahoma" w:cs="Tahoma"/>
          <w:i/>
          <w:kern w:val="0"/>
          <w:sz w:val="16"/>
          <w:szCs w:val="16"/>
          <w:lang w:eastAsia="hr-HR"/>
          <w14:ligatures w14:val="none"/>
        </w:rPr>
        <w:t>Petra Krešimira IV. br. 1, 35 000 Slavonski Brod</w:t>
      </w:r>
    </w:p>
    <w:p w:rsidR="00EB319A" w:rsidRDefault="00EB319A" w:rsidP="00EB319A">
      <w:pPr>
        <w:spacing w:after="0" w:line="240" w:lineRule="auto"/>
        <w:rPr>
          <w:rFonts w:ascii="Tahoma" w:eastAsia="Times New Roman" w:hAnsi="Tahoma" w:cs="Tahoma"/>
          <w:i/>
          <w:iCs/>
          <w:kern w:val="0"/>
          <w:sz w:val="16"/>
          <w:szCs w:val="16"/>
          <w:lang w:eastAsia="hr-HR"/>
          <w14:ligatures w14:val="none"/>
        </w:rPr>
      </w:pPr>
      <w:r>
        <w:rPr>
          <w:rFonts w:ascii="Tahoma" w:eastAsia="Times New Roman" w:hAnsi="Tahoma" w:cs="Tahoma"/>
          <w:i/>
          <w:iCs/>
          <w:kern w:val="0"/>
          <w:sz w:val="16"/>
          <w:szCs w:val="16"/>
          <w:lang w:val="en-GB" w:eastAsia="hr-HR"/>
          <w14:ligatures w14:val="none"/>
        </w:rPr>
        <w:t>tel</w:t>
      </w:r>
      <w:r>
        <w:rPr>
          <w:rFonts w:ascii="Tahoma" w:eastAsia="Times New Roman" w:hAnsi="Tahoma" w:cs="Tahoma"/>
          <w:i/>
          <w:iCs/>
          <w:kern w:val="0"/>
          <w:sz w:val="16"/>
          <w:szCs w:val="16"/>
          <w:lang w:eastAsia="hr-HR"/>
          <w14:ligatures w14:val="none"/>
        </w:rPr>
        <w:t>: 035/443-126</w:t>
      </w:r>
    </w:p>
    <w:p w:rsidR="00EB319A" w:rsidRPr="00C76D3D" w:rsidRDefault="00EB319A" w:rsidP="00EB319A">
      <w:pPr>
        <w:spacing w:after="0" w:line="240" w:lineRule="auto"/>
        <w:rPr>
          <w:rFonts w:ascii="Tahoma" w:eastAsia="Times New Roman" w:hAnsi="Tahoma" w:cs="Tahoma"/>
          <w:kern w:val="0"/>
          <w:sz w:val="16"/>
          <w:szCs w:val="16"/>
          <w:lang w:eastAsia="hr-HR"/>
          <w14:ligatures w14:val="none"/>
        </w:rPr>
      </w:pPr>
      <w:r w:rsidRPr="00C76D3D">
        <w:rPr>
          <w:rFonts w:ascii="Tahoma" w:eastAsia="Times New Roman" w:hAnsi="Tahoma" w:cs="Tahoma"/>
          <w:kern w:val="0"/>
          <w:sz w:val="16"/>
          <w:szCs w:val="16"/>
          <w:lang w:eastAsia="hr-HR"/>
          <w14:ligatures w14:val="none"/>
        </w:rPr>
        <w:t xml:space="preserve">KLASA: </w:t>
      </w:r>
      <w:r>
        <w:rPr>
          <w:rFonts w:ascii="Tahoma" w:eastAsia="Times New Roman" w:hAnsi="Tahoma" w:cs="Tahoma"/>
          <w:kern w:val="0"/>
          <w:sz w:val="16"/>
          <w:szCs w:val="16"/>
          <w:lang w:eastAsia="hr-HR"/>
          <w14:ligatures w14:val="none"/>
        </w:rPr>
        <w:t xml:space="preserve">UP/I </w:t>
      </w:r>
      <w:r w:rsidRPr="00C76D3D">
        <w:rPr>
          <w:rFonts w:ascii="Tahoma" w:eastAsia="Times New Roman" w:hAnsi="Tahoma" w:cs="Tahoma"/>
          <w:kern w:val="0"/>
          <w:sz w:val="16"/>
          <w:szCs w:val="16"/>
          <w:lang w:eastAsia="hr-HR"/>
          <w14:ligatures w14:val="none"/>
        </w:rPr>
        <w:t>35</w:t>
      </w:r>
      <w:r>
        <w:rPr>
          <w:rFonts w:ascii="Tahoma" w:eastAsia="Times New Roman" w:hAnsi="Tahoma" w:cs="Tahoma"/>
          <w:kern w:val="0"/>
          <w:sz w:val="16"/>
          <w:szCs w:val="16"/>
          <w:lang w:eastAsia="hr-HR"/>
          <w14:ligatures w14:val="none"/>
        </w:rPr>
        <w:t>2</w:t>
      </w:r>
      <w:r w:rsidRPr="00C76D3D">
        <w:rPr>
          <w:rFonts w:ascii="Tahoma" w:eastAsia="Times New Roman" w:hAnsi="Tahoma" w:cs="Tahoma"/>
          <w:kern w:val="0"/>
          <w:sz w:val="16"/>
          <w:szCs w:val="16"/>
          <w:lang w:eastAsia="hr-HR"/>
          <w14:ligatures w14:val="none"/>
        </w:rPr>
        <w:t>-0</w:t>
      </w:r>
      <w:r>
        <w:rPr>
          <w:rFonts w:ascii="Tahoma" w:eastAsia="Times New Roman" w:hAnsi="Tahoma" w:cs="Tahoma"/>
          <w:kern w:val="0"/>
          <w:sz w:val="16"/>
          <w:szCs w:val="16"/>
          <w:lang w:eastAsia="hr-HR"/>
          <w14:ligatures w14:val="none"/>
        </w:rPr>
        <w:t>2</w:t>
      </w:r>
      <w:r w:rsidRPr="00C76D3D">
        <w:rPr>
          <w:rFonts w:ascii="Tahoma" w:eastAsia="Times New Roman" w:hAnsi="Tahoma" w:cs="Tahoma"/>
          <w:kern w:val="0"/>
          <w:sz w:val="16"/>
          <w:szCs w:val="16"/>
          <w:lang w:eastAsia="hr-HR"/>
          <w14:ligatures w14:val="none"/>
        </w:rPr>
        <w:t>/2</w:t>
      </w:r>
      <w:r>
        <w:rPr>
          <w:rFonts w:ascii="Tahoma" w:eastAsia="Times New Roman" w:hAnsi="Tahoma" w:cs="Tahoma"/>
          <w:kern w:val="0"/>
          <w:sz w:val="16"/>
          <w:szCs w:val="16"/>
          <w:lang w:eastAsia="hr-HR"/>
          <w14:ligatures w14:val="none"/>
        </w:rPr>
        <w:t>4</w:t>
      </w:r>
      <w:r w:rsidRPr="00C76D3D">
        <w:rPr>
          <w:rFonts w:ascii="Tahoma" w:eastAsia="Times New Roman" w:hAnsi="Tahoma" w:cs="Tahoma"/>
          <w:kern w:val="0"/>
          <w:sz w:val="16"/>
          <w:szCs w:val="16"/>
          <w:lang w:eastAsia="hr-HR"/>
          <w14:ligatures w14:val="none"/>
        </w:rPr>
        <w:t>-0</w:t>
      </w:r>
      <w:r>
        <w:rPr>
          <w:rFonts w:ascii="Tahoma" w:eastAsia="Times New Roman" w:hAnsi="Tahoma" w:cs="Tahoma"/>
          <w:kern w:val="0"/>
          <w:sz w:val="16"/>
          <w:szCs w:val="16"/>
          <w:lang w:eastAsia="hr-HR"/>
          <w14:ligatures w14:val="none"/>
        </w:rPr>
        <w:t>1</w:t>
      </w:r>
      <w:r w:rsidRPr="00C76D3D">
        <w:rPr>
          <w:rFonts w:ascii="Tahoma" w:eastAsia="Times New Roman" w:hAnsi="Tahoma" w:cs="Tahoma"/>
          <w:kern w:val="0"/>
          <w:sz w:val="16"/>
          <w:szCs w:val="16"/>
          <w:lang w:eastAsia="hr-HR"/>
          <w14:ligatures w14:val="none"/>
        </w:rPr>
        <w:t>/</w:t>
      </w:r>
      <w:r>
        <w:rPr>
          <w:rFonts w:ascii="Tahoma" w:eastAsia="Times New Roman" w:hAnsi="Tahoma" w:cs="Tahoma"/>
          <w:kern w:val="0"/>
          <w:sz w:val="16"/>
          <w:szCs w:val="16"/>
          <w:lang w:eastAsia="hr-HR"/>
          <w14:ligatures w14:val="none"/>
        </w:rPr>
        <w:t>07</w:t>
      </w:r>
    </w:p>
    <w:p w:rsidR="00EB319A" w:rsidRPr="00C76D3D" w:rsidRDefault="00EB319A" w:rsidP="00EB319A">
      <w:pPr>
        <w:spacing w:after="0" w:line="240" w:lineRule="auto"/>
        <w:rPr>
          <w:rFonts w:ascii="Tahoma" w:eastAsia="Times New Roman" w:hAnsi="Tahoma" w:cs="Tahoma"/>
          <w:kern w:val="0"/>
          <w:sz w:val="16"/>
          <w:szCs w:val="16"/>
          <w:lang w:eastAsia="hr-HR"/>
          <w14:ligatures w14:val="none"/>
        </w:rPr>
      </w:pPr>
      <w:r w:rsidRPr="00C76D3D">
        <w:rPr>
          <w:rFonts w:ascii="Tahoma" w:eastAsia="Times New Roman" w:hAnsi="Tahoma" w:cs="Tahoma"/>
          <w:kern w:val="0"/>
          <w:sz w:val="16"/>
          <w:szCs w:val="16"/>
          <w:lang w:eastAsia="hr-HR"/>
          <w14:ligatures w14:val="none"/>
        </w:rPr>
        <w:t>URBROJ:  2178-03-02/5-24-</w:t>
      </w:r>
      <w:r>
        <w:rPr>
          <w:rFonts w:ascii="Tahoma" w:eastAsia="Times New Roman" w:hAnsi="Tahoma" w:cs="Tahoma"/>
          <w:kern w:val="0"/>
          <w:sz w:val="16"/>
          <w:szCs w:val="16"/>
          <w:lang w:eastAsia="hr-HR"/>
          <w14:ligatures w14:val="none"/>
        </w:rPr>
        <w:t>2</w:t>
      </w:r>
    </w:p>
    <w:p w:rsidR="00EB319A" w:rsidRDefault="00EB319A" w:rsidP="00EB319A">
      <w:pPr>
        <w:pStyle w:val="Bezproreda"/>
        <w:rPr>
          <w:rFonts w:eastAsiaTheme="minorHAnsi"/>
          <w:sz w:val="20"/>
          <w:szCs w:val="20"/>
          <w:lang w:eastAsia="en-US"/>
        </w:rPr>
      </w:pPr>
      <w:r w:rsidRPr="00C76D3D">
        <w:rPr>
          <w:rFonts w:ascii="Tahoma" w:eastAsiaTheme="minorHAnsi" w:hAnsi="Tahoma" w:cs="Tahoma"/>
          <w:sz w:val="16"/>
          <w:szCs w:val="16"/>
          <w:lang w:eastAsia="en-US"/>
        </w:rPr>
        <w:t xml:space="preserve">Slavonski Brod,  </w:t>
      </w:r>
      <w:r w:rsidR="002C24CE">
        <w:rPr>
          <w:rFonts w:ascii="Tahoma" w:eastAsiaTheme="minorHAnsi" w:hAnsi="Tahoma" w:cs="Tahoma"/>
          <w:sz w:val="16"/>
          <w:szCs w:val="16"/>
          <w:lang w:eastAsia="en-US"/>
        </w:rPr>
        <w:t>5</w:t>
      </w:r>
      <w:r>
        <w:rPr>
          <w:rFonts w:ascii="Tahoma" w:eastAsiaTheme="minorHAnsi" w:hAnsi="Tahoma" w:cs="Tahoma"/>
          <w:sz w:val="16"/>
          <w:szCs w:val="16"/>
          <w:lang w:eastAsia="en-US"/>
        </w:rPr>
        <w:t xml:space="preserve">. srpanj </w:t>
      </w:r>
      <w:r w:rsidRPr="00C76D3D">
        <w:rPr>
          <w:rFonts w:ascii="Tahoma" w:eastAsiaTheme="minorHAnsi" w:hAnsi="Tahoma" w:cs="Tahoma"/>
          <w:sz w:val="16"/>
          <w:szCs w:val="16"/>
          <w:lang w:eastAsia="en-US"/>
        </w:rPr>
        <w:t xml:space="preserve"> 2024. godine</w:t>
      </w:r>
      <w:r w:rsidRPr="00C76D3D">
        <w:rPr>
          <w:rFonts w:eastAsiaTheme="minorHAnsi"/>
          <w:sz w:val="20"/>
          <w:szCs w:val="20"/>
          <w:lang w:eastAsia="en-US"/>
        </w:rPr>
        <w:t xml:space="preserve">    </w:t>
      </w:r>
    </w:p>
    <w:p w:rsidR="00EB319A" w:rsidRDefault="00EB319A" w:rsidP="00EB319A">
      <w:pPr>
        <w:pStyle w:val="Bezproreda"/>
        <w:rPr>
          <w:rFonts w:eastAsiaTheme="minorHAnsi"/>
          <w:sz w:val="20"/>
          <w:szCs w:val="20"/>
          <w:lang w:eastAsia="en-US"/>
        </w:rPr>
      </w:pPr>
    </w:p>
    <w:p w:rsidR="00EB319A" w:rsidRDefault="00EB319A" w:rsidP="00EB319A">
      <w:pPr>
        <w:pStyle w:val="Bezproreda"/>
        <w:jc w:val="both"/>
        <w:rPr>
          <w:rFonts w:eastAsiaTheme="minorHAnsi"/>
          <w:sz w:val="20"/>
          <w:szCs w:val="20"/>
          <w:lang w:eastAsia="en-US"/>
        </w:rPr>
      </w:pPr>
    </w:p>
    <w:p w:rsidR="00EB319A" w:rsidRDefault="00EB319A" w:rsidP="00EB319A">
      <w:pPr>
        <w:pStyle w:val="Bezproreda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 w:rsidRPr="00C76D3D">
        <w:rPr>
          <w:rFonts w:ascii="Tahoma" w:eastAsiaTheme="minorHAnsi" w:hAnsi="Tahoma" w:cs="Tahoma"/>
          <w:sz w:val="20"/>
          <w:szCs w:val="20"/>
          <w:lang w:eastAsia="en-US"/>
        </w:rPr>
        <w:t>Brodsko-posavska županija</w:t>
      </w:r>
      <w:r>
        <w:rPr>
          <w:rFonts w:ascii="Tahoma" w:eastAsiaTheme="minorHAnsi" w:hAnsi="Tahoma" w:cs="Tahoma"/>
          <w:sz w:val="20"/>
          <w:szCs w:val="20"/>
          <w:lang w:eastAsia="en-US"/>
        </w:rPr>
        <w:t>, Upravni odjel za graditeljstvo, infrastrukturu i zaštitu okoliša, temeljem odredbi članka 29. stavak 2. i članka 31. stavka 7. Zakona o zaštiti prirode („Narodne novine“, br. 80/13, 15/18, 14/19 i 127/19), daje</w:t>
      </w:r>
    </w:p>
    <w:p w:rsidR="00EB319A" w:rsidRDefault="00EB319A" w:rsidP="00EB319A">
      <w:pPr>
        <w:pStyle w:val="Bezproreda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EB319A" w:rsidRPr="00822277" w:rsidRDefault="00EB319A" w:rsidP="00EB319A">
      <w:pPr>
        <w:pStyle w:val="Bezproreda"/>
        <w:jc w:val="center"/>
        <w:rPr>
          <w:rFonts w:ascii="Tahoma" w:eastAsiaTheme="minorHAnsi" w:hAnsi="Tahoma" w:cs="Tahoma"/>
          <w:b/>
          <w:bCs/>
          <w:sz w:val="24"/>
          <w:szCs w:val="24"/>
          <w:lang w:eastAsia="en-US"/>
        </w:rPr>
      </w:pPr>
      <w:r w:rsidRPr="00822277">
        <w:rPr>
          <w:rFonts w:ascii="Tahoma" w:eastAsiaTheme="minorHAnsi" w:hAnsi="Tahoma" w:cs="Tahoma"/>
          <w:b/>
          <w:bCs/>
          <w:sz w:val="24"/>
          <w:szCs w:val="24"/>
          <w:lang w:eastAsia="en-US"/>
        </w:rPr>
        <w:t>I N F O R M A C I J U</w:t>
      </w:r>
    </w:p>
    <w:p w:rsidR="00EB319A" w:rsidRPr="00457312" w:rsidRDefault="00EB319A" w:rsidP="00EB319A">
      <w:pPr>
        <w:pStyle w:val="Bezproreda"/>
        <w:jc w:val="center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</w:p>
    <w:p w:rsidR="00EB319A" w:rsidRPr="00457312" w:rsidRDefault="00EB319A" w:rsidP="00EB319A">
      <w:pPr>
        <w:pStyle w:val="Bezproreda"/>
        <w:jc w:val="center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457312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o zahtjevu za provođenje Glavne ocjene prihvatljivosti za ekološku mrežu za zahvat:</w:t>
      </w:r>
    </w:p>
    <w:p w:rsidR="00EB319A" w:rsidRPr="00457312" w:rsidRDefault="009F10D1" w:rsidP="00EB319A">
      <w:pPr>
        <w:pStyle w:val="Bezproreda"/>
        <w:jc w:val="center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Izg</w:t>
      </w:r>
      <w:r w:rsidR="00EB319A" w:rsidRPr="00457312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radnja pristaništa Davor</w:t>
      </w:r>
    </w:p>
    <w:p w:rsidR="00EB319A" w:rsidRDefault="00EB319A" w:rsidP="00EB319A">
      <w:pPr>
        <w:pStyle w:val="Bezproreda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EB319A" w:rsidRDefault="00EB319A" w:rsidP="00EB319A">
      <w:pPr>
        <w:pStyle w:val="Bezproreda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EB319A" w:rsidRDefault="00EB319A" w:rsidP="00EB319A">
      <w:pPr>
        <w:pStyle w:val="Bezproreda"/>
        <w:numPr>
          <w:ilvl w:val="0"/>
          <w:numId w:val="1"/>
        </w:numPr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 w:rsidRPr="00457312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Tijelo nadležno za provedbu postupka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: Upravni odjel za graditeljstvo, infrastrukturu i zaštitu okoliša </w:t>
      </w:r>
      <w:r w:rsidRPr="00EC6BCA">
        <w:rPr>
          <w:rFonts w:ascii="Tahoma" w:eastAsiaTheme="minorHAnsi" w:hAnsi="Tahoma" w:cs="Tahoma"/>
          <w:sz w:val="20"/>
          <w:szCs w:val="20"/>
          <w:lang w:eastAsia="en-US"/>
        </w:rPr>
        <w:t>Brodsko-posavske županije, Odsjek za infrastrukturu, zaštitu okoliša i obnovu, Petra Krešimira IV.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, </w:t>
      </w:r>
      <w:r w:rsidRPr="00EC6BCA">
        <w:rPr>
          <w:rFonts w:ascii="Tahoma" w:eastAsiaTheme="minorHAnsi" w:hAnsi="Tahoma" w:cs="Tahoma"/>
          <w:sz w:val="20"/>
          <w:szCs w:val="20"/>
          <w:lang w:eastAsia="en-US"/>
        </w:rPr>
        <w:t>br. 1, HR-35000 Slavonski Brod.</w:t>
      </w:r>
    </w:p>
    <w:p w:rsidR="00822277" w:rsidRPr="00EC6BCA" w:rsidRDefault="00822277" w:rsidP="00822277">
      <w:pPr>
        <w:pStyle w:val="Bezproreda"/>
        <w:ind w:left="72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EB319A" w:rsidRDefault="00EB319A" w:rsidP="00EB319A">
      <w:pPr>
        <w:pStyle w:val="Bezproreda"/>
        <w:numPr>
          <w:ilvl w:val="0"/>
          <w:numId w:val="1"/>
        </w:numPr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 w:rsidRPr="00457312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Nositelj zahvata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: Javna ustanova Lučka uprava Slavonski Brod, Šetalište braće Radića 19a, </w:t>
      </w:r>
    </w:p>
    <w:p w:rsidR="00EB319A" w:rsidRDefault="00EB319A" w:rsidP="00EB319A">
      <w:pPr>
        <w:pStyle w:val="Bezproreda"/>
        <w:ind w:left="72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sz w:val="20"/>
          <w:szCs w:val="20"/>
          <w:lang w:eastAsia="en-US"/>
        </w:rPr>
        <w:t>HR- 35000 Slavonski Brod.</w:t>
      </w:r>
    </w:p>
    <w:p w:rsidR="00822277" w:rsidRDefault="00822277" w:rsidP="00EB319A">
      <w:pPr>
        <w:pStyle w:val="Bezproreda"/>
        <w:ind w:left="72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EB319A" w:rsidRDefault="00EB319A" w:rsidP="00EB319A">
      <w:pPr>
        <w:pStyle w:val="Bezproreda"/>
        <w:numPr>
          <w:ilvl w:val="0"/>
          <w:numId w:val="1"/>
        </w:numPr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 w:rsidRPr="00457312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Pravni temelj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 za vođenje postupka Glavne ocjene prihvatljivosti zahvata za ekološku mrežu su odredbe članaka 24., 25., 29. stavak 2., 31. do 33., 38a., 41. do 44., 175. i 177. Zakona o zaštiti prirode. </w:t>
      </w:r>
    </w:p>
    <w:p w:rsidR="00822277" w:rsidRDefault="00822277" w:rsidP="00822277">
      <w:pPr>
        <w:pStyle w:val="Bezproreda"/>
        <w:ind w:left="72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EB319A" w:rsidRDefault="00EB319A" w:rsidP="00EB319A">
      <w:pPr>
        <w:pStyle w:val="Bezproreda"/>
        <w:numPr>
          <w:ilvl w:val="0"/>
          <w:numId w:val="1"/>
        </w:numPr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Zahtjev </w:t>
      </w:r>
      <w:r w:rsidRPr="00BD6BCD">
        <w:rPr>
          <w:rFonts w:ascii="Tahoma" w:eastAsiaTheme="minorHAnsi" w:hAnsi="Tahoma" w:cs="Tahoma"/>
          <w:sz w:val="20"/>
          <w:szCs w:val="20"/>
          <w:lang w:eastAsia="en-US"/>
        </w:rPr>
        <w:t>za provođenje Glavne ocjene prihvatljivosti zahvata za ekološku mrežu sadrži sve elemente sukladno odredbi članka 31. stavcima 1., 2., 3. i 4. Zakona o zaštiti prirode.</w:t>
      </w: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 </w:t>
      </w:r>
      <w:r>
        <w:rPr>
          <w:rFonts w:ascii="Tahoma" w:eastAsiaTheme="minorHAnsi" w:hAnsi="Tahoma" w:cs="Tahoma"/>
          <w:sz w:val="20"/>
          <w:szCs w:val="20"/>
          <w:lang w:eastAsia="en-US"/>
        </w:rPr>
        <w:t>Zahtjevu je priložena Studija glavne ocjene prihvatljivosti zahvata za ekološku mrežu, zahvat: Izgradnja pristaništa Davor (EKONERG d.o.o., Zagreb; radni nalog:</w:t>
      </w:r>
      <w:r w:rsidR="00006B73">
        <w:rPr>
          <w:rFonts w:ascii="Tahoma" w:eastAsiaTheme="minorHAnsi" w:hAnsi="Tahoma" w:cs="Tahoma"/>
          <w:sz w:val="20"/>
          <w:szCs w:val="20"/>
          <w:lang w:eastAsia="en-US"/>
        </w:rPr>
        <w:t xml:space="preserve"> </w:t>
      </w:r>
      <w:r>
        <w:rPr>
          <w:rFonts w:ascii="Tahoma" w:eastAsiaTheme="minorHAnsi" w:hAnsi="Tahoma" w:cs="Tahoma"/>
          <w:sz w:val="20"/>
          <w:szCs w:val="20"/>
          <w:lang w:eastAsia="en-US"/>
        </w:rPr>
        <w:t>I-03-1122, iz lipnja 2024. godine).</w:t>
      </w:r>
    </w:p>
    <w:p w:rsidR="00822277" w:rsidRDefault="00822277" w:rsidP="00822277">
      <w:pPr>
        <w:pStyle w:val="Bezproreda"/>
        <w:ind w:left="72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EB319A" w:rsidRDefault="00EB319A" w:rsidP="00EB319A">
      <w:pPr>
        <w:pStyle w:val="Bezproreda"/>
        <w:numPr>
          <w:ilvl w:val="0"/>
          <w:numId w:val="1"/>
        </w:numPr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Lokacija zahvata:  </w:t>
      </w:r>
      <w:r w:rsidRPr="00BD6BCD">
        <w:rPr>
          <w:rFonts w:ascii="Tahoma" w:eastAsiaTheme="minorHAnsi" w:hAnsi="Tahoma" w:cs="Tahoma"/>
          <w:sz w:val="20"/>
          <w:szCs w:val="20"/>
          <w:lang w:eastAsia="en-US"/>
        </w:rPr>
        <w:t xml:space="preserve">Predmetni zahvat se nalazi u Brodsko-posavskoj županiji, na području Općine Davor, na 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lijevoj obali rijeke Save od rkm 428+292 do rkm 428+127,  na </w:t>
      </w:r>
      <w:r w:rsidRPr="00BD6BCD">
        <w:rPr>
          <w:rFonts w:ascii="Tahoma" w:eastAsiaTheme="minorHAnsi" w:hAnsi="Tahoma" w:cs="Tahoma"/>
          <w:sz w:val="20"/>
          <w:szCs w:val="20"/>
          <w:lang w:eastAsia="en-US"/>
        </w:rPr>
        <w:t>kčbr.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 2021, 2024, 2025/1, 2025/2, 2025/3, 2025/5, 2025/5, 2025/7, 2025/9, 2797/1 i 2805/5 k.o. Davor.</w:t>
      </w:r>
      <w:r w:rsidRPr="00BD6BCD">
        <w:rPr>
          <w:rFonts w:ascii="Tahoma" w:eastAsiaTheme="minorHAnsi" w:hAnsi="Tahoma" w:cs="Tahoma"/>
          <w:sz w:val="20"/>
          <w:szCs w:val="20"/>
          <w:lang w:eastAsia="en-US"/>
        </w:rPr>
        <w:t xml:space="preserve"> </w:t>
      </w:r>
    </w:p>
    <w:p w:rsidR="00822277" w:rsidRDefault="00822277" w:rsidP="00822277">
      <w:pPr>
        <w:pStyle w:val="Bezproreda"/>
        <w:ind w:left="72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713FF8" w:rsidRDefault="00EB319A" w:rsidP="00EB319A">
      <w:pPr>
        <w:pStyle w:val="Bezproreda"/>
        <w:numPr>
          <w:ilvl w:val="0"/>
          <w:numId w:val="1"/>
        </w:numPr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Sažeti opis zahvata: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 </w:t>
      </w:r>
      <w:r w:rsidR="00822277">
        <w:rPr>
          <w:rFonts w:ascii="Tahoma" w:eastAsiaTheme="minorHAnsi" w:hAnsi="Tahoma" w:cs="Tahoma"/>
          <w:sz w:val="20"/>
          <w:szCs w:val="20"/>
          <w:lang w:eastAsia="en-US"/>
        </w:rPr>
        <w:t>Planiranim zahvatom je predviđeno formiranje pristana - ponton s pristupnim mostom i uređenje obale za potrebe vezanja pristana obaloutvrdom gradskog tipa dužine oko 163 m</w:t>
      </w:r>
      <w:r w:rsidR="00006B73">
        <w:rPr>
          <w:rFonts w:ascii="Tahoma" w:eastAsiaTheme="minorHAnsi" w:hAnsi="Tahoma" w:cs="Tahoma"/>
          <w:sz w:val="20"/>
          <w:szCs w:val="20"/>
          <w:lang w:eastAsia="en-US"/>
        </w:rPr>
        <w:t>,</w:t>
      </w:r>
      <w:r w:rsidR="00822277">
        <w:rPr>
          <w:rFonts w:ascii="Tahoma" w:eastAsiaTheme="minorHAnsi" w:hAnsi="Tahoma" w:cs="Tahoma"/>
          <w:sz w:val="20"/>
          <w:szCs w:val="20"/>
          <w:lang w:eastAsia="en-US"/>
        </w:rPr>
        <w:t xml:space="preserve"> u Općini Davor, na lijevoj obali rijeke Save, od rkm 428+292 do rkm 428+127. </w:t>
      </w:r>
    </w:p>
    <w:p w:rsidR="00713FF8" w:rsidRPr="009034A0" w:rsidRDefault="00713FF8" w:rsidP="00713FF8">
      <w:pPr>
        <w:pStyle w:val="Bezproreda"/>
        <w:ind w:left="72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 w:rsidRPr="009034A0">
        <w:rPr>
          <w:rFonts w:ascii="Tahoma" w:eastAsiaTheme="minorHAnsi" w:hAnsi="Tahoma" w:cs="Tahoma"/>
          <w:sz w:val="20"/>
          <w:szCs w:val="20"/>
          <w:lang w:eastAsia="en-US"/>
        </w:rPr>
        <w:t xml:space="preserve">Projektom izgradnje pristaništa se planira i uređenje i zaštita obale od erozijskog djelovanja toka rijeke Save, izgradnja elemenata na obali za povezivanje pontona s obalom, kao i prostorni smještaj pontona za privez putničkih i turističkih plovila. Također je planirana izgradnja instalacija vodoopskrbe i vatroobrane pristaništa, te priključaka električne energije uz predviđenu lokaciju pontona, sa svim potrebnim objektima i opremom. </w:t>
      </w:r>
      <w:r w:rsidR="00C76308">
        <w:rPr>
          <w:rFonts w:ascii="Tahoma" w:eastAsiaTheme="minorHAnsi" w:hAnsi="Tahoma" w:cs="Tahoma"/>
          <w:sz w:val="20"/>
          <w:szCs w:val="20"/>
          <w:lang w:eastAsia="en-US"/>
        </w:rPr>
        <w:t>Planirani zahvat uključuje prihvat te privremeno skladištenje otpada s brodova, kao i prijem otpadnih voda s brodova</w:t>
      </w:r>
      <w:r w:rsidR="00F24F93">
        <w:rPr>
          <w:rFonts w:ascii="Tahoma" w:eastAsiaTheme="minorHAnsi" w:hAnsi="Tahoma" w:cs="Tahoma"/>
          <w:sz w:val="20"/>
          <w:szCs w:val="20"/>
          <w:lang w:eastAsia="en-US"/>
        </w:rPr>
        <w:t>, koji će se zbrinuti putem ovlaštenih tvrtki</w:t>
      </w:r>
      <w:r w:rsidR="00C76308">
        <w:rPr>
          <w:rFonts w:ascii="Tahoma" w:eastAsiaTheme="minorHAnsi" w:hAnsi="Tahoma" w:cs="Tahoma"/>
          <w:sz w:val="20"/>
          <w:szCs w:val="20"/>
          <w:lang w:eastAsia="en-US"/>
        </w:rPr>
        <w:t xml:space="preserve">. Zapadno od lokacije pristaništa je predviđen </w:t>
      </w:r>
      <w:r w:rsidR="00C76308">
        <w:rPr>
          <w:rFonts w:ascii="Tahoma" w:eastAsiaTheme="minorHAnsi" w:hAnsi="Tahoma" w:cs="Tahoma"/>
          <w:sz w:val="20"/>
          <w:szCs w:val="20"/>
          <w:lang w:eastAsia="en-US"/>
        </w:rPr>
        <w:lastRenderedPageBreak/>
        <w:t xml:space="preserve">prostor za privremeni prihvat otpada, a izgradnjom okna na obali prikupljati će se zauljene vode i sanitarno-fekalne vode s popratnom infrastrukturom. </w:t>
      </w:r>
      <w:r w:rsidRPr="009034A0">
        <w:rPr>
          <w:rFonts w:ascii="Tahoma" w:eastAsiaTheme="minorHAnsi" w:hAnsi="Tahoma" w:cs="Tahoma"/>
          <w:sz w:val="20"/>
          <w:szCs w:val="20"/>
          <w:lang w:eastAsia="en-US"/>
        </w:rPr>
        <w:t>Pristanište će se projektirati na način da se omogući jednostavan i siguran vez te uplovljavanje i isplovljavanje brodova</w:t>
      </w:r>
      <w:r>
        <w:rPr>
          <w:rFonts w:ascii="Tahoma" w:eastAsiaTheme="minorHAnsi" w:hAnsi="Tahoma" w:cs="Tahoma"/>
          <w:sz w:val="20"/>
          <w:szCs w:val="20"/>
          <w:lang w:eastAsia="en-US"/>
        </w:rPr>
        <w:t>, kao</w:t>
      </w:r>
      <w:r w:rsidRPr="009034A0">
        <w:rPr>
          <w:rFonts w:ascii="Tahoma" w:eastAsiaTheme="minorHAnsi" w:hAnsi="Tahoma" w:cs="Tahoma"/>
          <w:sz w:val="20"/>
          <w:szCs w:val="20"/>
          <w:lang w:eastAsia="en-US"/>
        </w:rPr>
        <w:t xml:space="preserve"> privez manjeg broja čamaca/brodica. Namjera planiranog zahvata je pri</w:t>
      </w:r>
      <w:r>
        <w:rPr>
          <w:rFonts w:ascii="Tahoma" w:eastAsiaTheme="minorHAnsi" w:hAnsi="Tahoma" w:cs="Tahoma"/>
          <w:sz w:val="20"/>
          <w:szCs w:val="20"/>
          <w:lang w:eastAsia="en-US"/>
        </w:rPr>
        <w:t>ve</w:t>
      </w:r>
      <w:r w:rsidRPr="009034A0">
        <w:rPr>
          <w:rFonts w:ascii="Tahoma" w:eastAsiaTheme="minorHAnsi" w:hAnsi="Tahoma" w:cs="Tahoma"/>
          <w:sz w:val="20"/>
          <w:szCs w:val="20"/>
          <w:lang w:eastAsia="en-US"/>
        </w:rPr>
        <w:t>z plovila korisnika pristaništa na rijeci Savi te infrastrukturna namjena prometnog sustava tj. riječnog prometa.</w:t>
      </w:r>
    </w:p>
    <w:p w:rsidR="00713FF8" w:rsidRDefault="00713FF8" w:rsidP="00713FF8">
      <w:pPr>
        <w:pStyle w:val="Bezproreda"/>
        <w:ind w:left="72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EB319A" w:rsidRPr="008C4A1B" w:rsidRDefault="00EB319A" w:rsidP="00EB319A">
      <w:pPr>
        <w:pStyle w:val="Bezproreda"/>
        <w:numPr>
          <w:ilvl w:val="0"/>
          <w:numId w:val="1"/>
        </w:numPr>
        <w:jc w:val="both"/>
        <w:rPr>
          <w:rFonts w:ascii="Tahoma" w:eastAsiaTheme="minorHAnsi" w:hAnsi="Tahoma" w:cs="Tahoma"/>
          <w:i/>
          <w:iCs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Sažeti podaci o ekološkoj mreži: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 Prema Uredbi o ekološkoj mreži i nadležnostima javnih ustanova za upravljanje područjima ekološke mreže („Narodne novine“, br. 80/19 i 119/13), planirani zahvat se djelomično nalazi unutar Posebnog područja očuvanja značajnog za vrste i stanišne tipove (PPOVS) </w:t>
      </w:r>
      <w:r w:rsidRPr="004D51B3">
        <w:rPr>
          <w:rFonts w:ascii="Tahoma" w:eastAsiaTheme="minorHAnsi" w:hAnsi="Tahoma" w:cs="Tahoma"/>
          <w:i/>
          <w:iCs/>
          <w:sz w:val="20"/>
          <w:szCs w:val="20"/>
          <w:lang w:eastAsia="en-US"/>
        </w:rPr>
        <w:t>HR2001311 Sava nizvodno od Hrušćice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. Od ostalih područja, na udaljenosti od oko 1 km istočno od obuhvata zahvata, nalazi se Područje očuvanja značajno za ptice (POP) </w:t>
      </w:r>
      <w:r w:rsidRPr="004D51B3">
        <w:rPr>
          <w:rFonts w:ascii="Tahoma" w:eastAsiaTheme="minorHAnsi" w:hAnsi="Tahoma" w:cs="Tahoma"/>
          <w:i/>
          <w:iCs/>
          <w:sz w:val="20"/>
          <w:szCs w:val="20"/>
          <w:lang w:eastAsia="en-US"/>
        </w:rPr>
        <w:t>HR100</w:t>
      </w:r>
      <w:r w:rsidR="004D51B3" w:rsidRPr="004D51B3">
        <w:rPr>
          <w:rFonts w:ascii="Tahoma" w:eastAsiaTheme="minorHAnsi" w:hAnsi="Tahoma" w:cs="Tahoma"/>
          <w:i/>
          <w:iCs/>
          <w:sz w:val="20"/>
          <w:szCs w:val="20"/>
          <w:lang w:eastAsia="en-US"/>
        </w:rPr>
        <w:t>0</w:t>
      </w:r>
      <w:r w:rsidRPr="004D51B3">
        <w:rPr>
          <w:rFonts w:ascii="Tahoma" w:eastAsiaTheme="minorHAnsi" w:hAnsi="Tahoma" w:cs="Tahoma"/>
          <w:i/>
          <w:iCs/>
          <w:sz w:val="20"/>
          <w:szCs w:val="20"/>
          <w:lang w:eastAsia="en-US"/>
        </w:rPr>
        <w:t>005 Jelas polje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, a na udaljenosti od oko 2 km sjeveroistočno se nalazi Posebno područje očuvanja značajno za vrste i stanišne tipove (PPOVS) </w:t>
      </w:r>
      <w:r w:rsidRPr="008C4A1B">
        <w:rPr>
          <w:rFonts w:ascii="Tahoma" w:eastAsiaTheme="minorHAnsi" w:hAnsi="Tahoma" w:cs="Tahoma"/>
          <w:i/>
          <w:iCs/>
          <w:sz w:val="20"/>
          <w:szCs w:val="20"/>
          <w:lang w:eastAsia="en-US"/>
        </w:rPr>
        <w:t>HR2001289 Davor – livade.</w:t>
      </w:r>
    </w:p>
    <w:p w:rsidR="00713FF8" w:rsidRDefault="00713FF8" w:rsidP="00713FF8">
      <w:pPr>
        <w:pStyle w:val="Bezproreda"/>
        <w:ind w:left="72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EB319A" w:rsidRDefault="00EB319A" w:rsidP="00EB319A">
      <w:pPr>
        <w:pStyle w:val="Bezproreda"/>
        <w:numPr>
          <w:ilvl w:val="0"/>
          <w:numId w:val="1"/>
        </w:numPr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Način informiranja i sudjelovanja javnosti i zainteresirane javnosti u predmetnom postupku: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 U svrhu informiranja javnosti i zainteresirane javnosti o podnesenom zahtjevu, ova informacija se objavljuje na oglasnoj ploči te na  službenim mrežnim stranicama </w:t>
      </w:r>
      <w:r w:rsidR="008C4A1B">
        <w:rPr>
          <w:rFonts w:ascii="Tahoma" w:eastAsiaTheme="minorHAnsi" w:hAnsi="Tahoma" w:cs="Tahoma"/>
          <w:sz w:val="20"/>
          <w:szCs w:val="20"/>
          <w:lang w:eastAsia="en-US"/>
        </w:rPr>
        <w:t xml:space="preserve">Brodsko-posavske županije </w:t>
      </w:r>
      <w:r w:rsidR="004D51B3">
        <w:rPr>
          <w:rFonts w:ascii="Tahoma" w:eastAsiaTheme="minorHAnsi" w:hAnsi="Tahoma" w:cs="Tahoma"/>
          <w:sz w:val="20"/>
          <w:szCs w:val="20"/>
          <w:lang w:eastAsia="en-US"/>
        </w:rPr>
        <w:t>(</w:t>
      </w:r>
      <w:hyperlink r:id="rId6" w:history="1">
        <w:r w:rsidR="004D51B3" w:rsidRPr="005555AF">
          <w:rPr>
            <w:rStyle w:val="Hiperveza"/>
            <w:rFonts w:ascii="Tahoma" w:eastAsiaTheme="minorHAnsi" w:hAnsi="Tahoma" w:cs="Tahoma"/>
            <w:sz w:val="20"/>
            <w:szCs w:val="20"/>
            <w:lang w:eastAsia="en-US"/>
          </w:rPr>
          <w:t>https://www.bpz.hr/</w:t>
        </w:r>
      </w:hyperlink>
      <w:r w:rsidR="004D51B3">
        <w:rPr>
          <w:rFonts w:ascii="Tahoma" w:eastAsiaTheme="minorHAnsi" w:hAnsi="Tahoma" w:cs="Tahoma"/>
          <w:sz w:val="20"/>
          <w:szCs w:val="20"/>
          <w:lang w:eastAsia="en-US"/>
        </w:rPr>
        <w:t>)</w:t>
      </w:r>
      <w:r>
        <w:rPr>
          <w:rFonts w:ascii="Tahoma" w:eastAsiaTheme="minorHAnsi" w:hAnsi="Tahoma" w:cs="Tahoma"/>
          <w:sz w:val="20"/>
          <w:szCs w:val="20"/>
          <w:lang w:eastAsia="en-US"/>
        </w:rPr>
        <w:t>. U ovom postupku javnost i zainteresirana javnost sudjelovati će putem javne rasprave  o Studiji Glavne ocjene prihvatljivosti za ekološku mrežu zahvata: Izgradnja pristaništa Davor, koju je izradio ovlaštenik EKONERG d.o.o. iz Zagreba. Za vrijeme trajanja javne rasprave, koja ne može biti kraća od 30 dana,  održati će se javni uvid u predmetnu Studiju i javno izlaganje o zahvatu. O razdoblju održavanja i načinu provedbe javne rasprave sa javnim uvidom i javnim izlaganjem, te načinima sudjelovanja javnosti, kao i  ishodu ovog postupka, javnost i zainteresirana javnost bit će obaviještena objavom informacija, rješenja i izvješća donesenih povodom predmetnog zahvata na mrežnim  stranicama Brodsko-posavske žu</w:t>
      </w:r>
      <w:r w:rsidR="004D51B3">
        <w:rPr>
          <w:rFonts w:ascii="Tahoma" w:eastAsiaTheme="minorHAnsi" w:hAnsi="Tahoma" w:cs="Tahoma"/>
          <w:sz w:val="20"/>
          <w:szCs w:val="20"/>
          <w:lang w:eastAsia="en-US"/>
        </w:rPr>
        <w:t>panije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. </w:t>
      </w:r>
    </w:p>
    <w:p w:rsidR="00EB319A" w:rsidRDefault="00EB319A" w:rsidP="00EB319A">
      <w:pPr>
        <w:pStyle w:val="Bezproreda"/>
        <w:ind w:left="720"/>
        <w:jc w:val="both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</w:p>
    <w:p w:rsidR="00EB319A" w:rsidRDefault="00EB319A" w:rsidP="00EB319A">
      <w:pPr>
        <w:pStyle w:val="Bezproreda"/>
        <w:ind w:left="720"/>
        <w:jc w:val="both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</w:p>
    <w:p w:rsidR="00EB319A" w:rsidRDefault="00EB319A" w:rsidP="00EB319A">
      <w:pPr>
        <w:pStyle w:val="Bezproreda"/>
        <w:ind w:left="720"/>
        <w:jc w:val="both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                                                      VIŠA SAVJETNICA ZA ZAŠTITU PRIRODE I OKOLIŠA</w:t>
      </w:r>
    </w:p>
    <w:p w:rsidR="00EB319A" w:rsidRPr="00907054" w:rsidRDefault="00EB319A" w:rsidP="00EB319A">
      <w:pPr>
        <w:pStyle w:val="Bezproreda"/>
        <w:ind w:left="72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                                                                               </w:t>
      </w:r>
      <w:r w:rsidRPr="00907054">
        <w:rPr>
          <w:rFonts w:ascii="Tahoma" w:eastAsiaTheme="minorHAnsi" w:hAnsi="Tahoma" w:cs="Tahoma"/>
          <w:sz w:val="20"/>
          <w:szCs w:val="20"/>
          <w:lang w:eastAsia="en-US"/>
        </w:rPr>
        <w:t xml:space="preserve">Ljiljana Curić, dipl.ing. </w:t>
      </w:r>
    </w:p>
    <w:p w:rsidR="007145CA" w:rsidRDefault="007145CA"/>
    <w:sectPr w:rsidR="007145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7D34E3E"/>
    <w:multiLevelType w:val="hybridMultilevel"/>
    <w:tmpl w:val="4998B8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6277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19A"/>
    <w:rsid w:val="00006B73"/>
    <w:rsid w:val="00080B0A"/>
    <w:rsid w:val="001D2E28"/>
    <w:rsid w:val="002C24CE"/>
    <w:rsid w:val="002F5135"/>
    <w:rsid w:val="003951D3"/>
    <w:rsid w:val="004D51B3"/>
    <w:rsid w:val="006B600C"/>
    <w:rsid w:val="00713FF8"/>
    <w:rsid w:val="007145CA"/>
    <w:rsid w:val="00822277"/>
    <w:rsid w:val="008C4A1B"/>
    <w:rsid w:val="009F10D1"/>
    <w:rsid w:val="00B407ED"/>
    <w:rsid w:val="00C104C7"/>
    <w:rsid w:val="00C76308"/>
    <w:rsid w:val="00D110D0"/>
    <w:rsid w:val="00E909E6"/>
    <w:rsid w:val="00EB319A"/>
    <w:rsid w:val="00F2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770EE"/>
  <w15:chartTrackingRefBased/>
  <w15:docId w15:val="{90CBEDF0-070A-415C-9ADC-31FAF2C2B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19A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EB319A"/>
    <w:pPr>
      <w:spacing w:after="0" w:line="240" w:lineRule="auto"/>
    </w:pPr>
    <w:rPr>
      <w:rFonts w:eastAsiaTheme="minorEastAsia"/>
      <w:kern w:val="0"/>
      <w:lang w:eastAsia="hr-HR"/>
      <w14:ligatures w14:val="none"/>
    </w:rPr>
  </w:style>
  <w:style w:type="character" w:styleId="Hiperveza">
    <w:name w:val="Hyperlink"/>
    <w:basedOn w:val="Zadanifontodlomka"/>
    <w:uiPriority w:val="99"/>
    <w:unhideWhenUsed/>
    <w:rsid w:val="00EB31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pz.hr/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Curić</dc:creator>
  <cp:keywords/>
  <dc:description/>
  <cp:lastModifiedBy>Ljiljana Curić</cp:lastModifiedBy>
  <cp:revision>7</cp:revision>
  <dcterms:created xsi:type="dcterms:W3CDTF">2024-07-05T07:32:00Z</dcterms:created>
  <dcterms:modified xsi:type="dcterms:W3CDTF">2024-07-09T06:51:00Z</dcterms:modified>
</cp:coreProperties>
</file>