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90E42" w:rsidRDefault="00590E42" w:rsidP="00590E42">
      <w:pPr>
        <w:pStyle w:val="Bezproreda"/>
        <w:rPr>
          <w:rFonts w:ascii="Arial Narrow" w:hAnsi="Arial Narrow"/>
          <w:b/>
          <w:sz w:val="20"/>
          <w:szCs w:val="20"/>
        </w:rPr>
      </w:pPr>
      <w:r>
        <w:rPr>
          <w:sz w:val="20"/>
          <w:szCs w:val="20"/>
        </w:rPr>
        <w:t xml:space="preserve">                   </w:t>
      </w:r>
      <w:r>
        <w:rPr>
          <w:noProof/>
          <w:sz w:val="20"/>
          <w:szCs w:val="20"/>
        </w:rPr>
        <w:drawing>
          <wp:inline distT="0" distB="0" distL="0" distR="0" wp14:anchorId="7A1D0205" wp14:editId="45E37706">
            <wp:extent cx="600075" cy="695325"/>
            <wp:effectExtent l="0" t="0" r="9525" b="9525"/>
            <wp:docPr id="52675755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 </w:t>
      </w:r>
    </w:p>
    <w:p w:rsidR="00590E42" w:rsidRDefault="00590E42" w:rsidP="00590E42">
      <w:pPr>
        <w:pStyle w:val="Bezproreda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   </w:t>
      </w:r>
      <w:r>
        <w:rPr>
          <w:rFonts w:ascii="Tahoma" w:hAnsi="Tahoma" w:cs="Tahoma"/>
          <w:b/>
          <w:bCs/>
          <w:sz w:val="18"/>
          <w:szCs w:val="18"/>
          <w:lang w:val="de-DE"/>
        </w:rPr>
        <w:t>REPUBLIKA HRVATSKA</w:t>
      </w:r>
    </w:p>
    <w:p w:rsidR="00590E42" w:rsidRDefault="00590E42" w:rsidP="00590E42">
      <w:pPr>
        <w:pStyle w:val="Bezproreda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   BRODSKO-POSAVSKA ŽUPANIJA </w:t>
      </w:r>
      <w:bookmarkStart w:id="0" w:name="_Hlk95292189"/>
    </w:p>
    <w:p w:rsidR="00590E42" w:rsidRDefault="00590E42" w:rsidP="00590E42">
      <w:pPr>
        <w:pStyle w:val="Bezproreda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   </w:t>
      </w:r>
      <w:r>
        <w:rPr>
          <w:rFonts w:ascii="Tahoma" w:hAnsi="Tahoma" w:cs="Tahoma"/>
          <w:b/>
          <w:bCs/>
          <w:sz w:val="18"/>
          <w:szCs w:val="18"/>
          <w:lang w:val="de-DE"/>
        </w:rPr>
        <w:t>UPRAVNI ODJEL ZA GRADITELJSTVO,</w:t>
      </w:r>
      <w:r>
        <w:rPr>
          <w:rFonts w:ascii="Tahoma" w:hAnsi="Tahoma" w:cs="Tahoma"/>
          <w:b/>
          <w:bCs/>
          <w:sz w:val="18"/>
          <w:szCs w:val="18"/>
        </w:rPr>
        <w:t xml:space="preserve">  </w:t>
      </w:r>
    </w:p>
    <w:p w:rsidR="00590E42" w:rsidRDefault="00590E42" w:rsidP="00590E42">
      <w:pPr>
        <w:pStyle w:val="Bezproreda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   </w:t>
      </w:r>
      <w:r>
        <w:rPr>
          <w:rFonts w:ascii="Tahoma" w:hAnsi="Tahoma" w:cs="Tahoma"/>
          <w:b/>
          <w:bCs/>
          <w:sz w:val="18"/>
          <w:szCs w:val="18"/>
          <w:lang w:val="de-DE"/>
        </w:rPr>
        <w:t xml:space="preserve">INFRASTRUKTURU </w:t>
      </w:r>
      <w:r>
        <w:rPr>
          <w:rFonts w:ascii="Tahoma" w:hAnsi="Tahoma" w:cs="Tahoma"/>
          <w:b/>
          <w:sz w:val="18"/>
          <w:szCs w:val="18"/>
        </w:rPr>
        <w:t>I ZAŠTITU OKOLIŠA</w:t>
      </w:r>
    </w:p>
    <w:p w:rsidR="00590E42" w:rsidRDefault="00590E42" w:rsidP="00590E42">
      <w:pPr>
        <w:pStyle w:val="Bezproreda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Odsjek za infrastrukturu, zaštitu okoliša i obnovu </w:t>
      </w:r>
    </w:p>
    <w:p w:rsidR="00590E42" w:rsidRDefault="00590E42" w:rsidP="00590E42">
      <w:pPr>
        <w:pStyle w:val="Bezproreda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Petra Krešimira IV. br. 1, 35 000 Slavonski Brod</w:t>
      </w:r>
    </w:p>
    <w:p w:rsidR="00590E42" w:rsidRDefault="00590E42" w:rsidP="00590E42">
      <w:pPr>
        <w:pStyle w:val="Bezproreda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  <w:lang w:val="en-GB"/>
        </w:rPr>
        <w:t>tel</w:t>
      </w:r>
      <w:r>
        <w:rPr>
          <w:rFonts w:ascii="Tahoma" w:hAnsi="Tahoma" w:cs="Tahoma"/>
          <w:i/>
          <w:iCs/>
          <w:sz w:val="18"/>
          <w:szCs w:val="18"/>
        </w:rPr>
        <w:t>: 035/443-126</w:t>
      </w:r>
    </w:p>
    <w:p w:rsidR="00590E42" w:rsidRDefault="00590E42" w:rsidP="00590E42">
      <w:pPr>
        <w:pStyle w:val="Bezproreda"/>
        <w:rPr>
          <w:rFonts w:ascii="Tahoma" w:hAnsi="Tahoma" w:cs="Tahoma"/>
          <w:i/>
          <w:iCs/>
          <w:sz w:val="18"/>
          <w:szCs w:val="18"/>
          <w:lang w:val="de-DE"/>
        </w:rPr>
      </w:pPr>
      <w:r>
        <w:rPr>
          <w:rFonts w:ascii="Tahoma" w:hAnsi="Tahoma" w:cs="Tahoma"/>
          <w:i/>
          <w:iCs/>
          <w:sz w:val="18"/>
          <w:szCs w:val="18"/>
          <w:lang w:val="de-DE"/>
        </w:rPr>
        <w:t>e</w:t>
      </w:r>
      <w:r>
        <w:rPr>
          <w:rFonts w:ascii="Tahoma" w:hAnsi="Tahoma" w:cs="Tahoma"/>
          <w:i/>
          <w:iCs/>
          <w:sz w:val="18"/>
          <w:szCs w:val="18"/>
        </w:rPr>
        <w:t>-</w:t>
      </w:r>
      <w:r>
        <w:rPr>
          <w:rFonts w:ascii="Tahoma" w:hAnsi="Tahoma" w:cs="Tahoma"/>
          <w:i/>
          <w:iCs/>
          <w:sz w:val="18"/>
          <w:szCs w:val="18"/>
          <w:lang w:val="de-DE"/>
        </w:rPr>
        <w:t>mail</w:t>
      </w:r>
      <w:r>
        <w:rPr>
          <w:rFonts w:ascii="Tahoma" w:hAnsi="Tahoma" w:cs="Tahoma"/>
          <w:i/>
          <w:iCs/>
          <w:sz w:val="18"/>
          <w:szCs w:val="18"/>
        </w:rPr>
        <w:t xml:space="preserve">: </w:t>
      </w:r>
      <w:r>
        <w:rPr>
          <w:rFonts w:ascii="Tahoma" w:hAnsi="Tahoma" w:cs="Tahoma"/>
          <w:i/>
          <w:iCs/>
          <w:sz w:val="18"/>
          <w:szCs w:val="18"/>
          <w:lang w:val="de-DE"/>
        </w:rPr>
        <w:t>komgosp@bpz.hr</w:t>
      </w:r>
    </w:p>
    <w:p w:rsidR="00590E42" w:rsidRDefault="00590E42" w:rsidP="00590E42">
      <w:pPr>
        <w:pStyle w:val="Bezproreda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KLASA: UP/I 352-02/24-01/10</w:t>
      </w:r>
    </w:p>
    <w:p w:rsidR="00590E42" w:rsidRDefault="00590E42" w:rsidP="00590E42">
      <w:pPr>
        <w:pStyle w:val="Bezproreda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URBROJ: 2178-03-02/5-24-4</w:t>
      </w:r>
    </w:p>
    <w:p w:rsidR="00590E42" w:rsidRDefault="00590E42" w:rsidP="00590E42">
      <w:pPr>
        <w:pStyle w:val="Bezproreda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Slavonski Brod,  </w:t>
      </w:r>
      <w:r w:rsidR="0093665C">
        <w:rPr>
          <w:rFonts w:ascii="Tahoma" w:hAnsi="Tahoma" w:cs="Tahoma"/>
          <w:sz w:val="18"/>
          <w:szCs w:val="18"/>
        </w:rPr>
        <w:t>2</w:t>
      </w:r>
      <w:r w:rsidR="00A70F00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>. rujan  2024. godine</w:t>
      </w:r>
    </w:p>
    <w:p w:rsidR="00590E42" w:rsidRDefault="00590E42" w:rsidP="00590E42">
      <w:pPr>
        <w:pStyle w:val="Bezproreda"/>
        <w:ind w:right="-284"/>
        <w:jc w:val="both"/>
        <w:rPr>
          <w:rFonts w:ascii="Tahoma" w:hAnsi="Tahoma" w:cs="Tahoma"/>
          <w:b/>
          <w:sz w:val="20"/>
          <w:szCs w:val="20"/>
        </w:rPr>
      </w:pP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Brodsko-posavska županija, OIB 27400987949, Upravni odjel za graditeljstvo, infrastrukturu i zaštitu okoliša,  temeljem članka 30. stavak 4. i 6., vezano uz članak 29. stavak 2. Zakona o zaštiti prirode („Narodne novine“,  br. 80/13, 15/18, 14/19, 127/19 i 155/23),  povodom zahtjeva nositelja zahvata Odašiljači  i veze d.o.o., OIB 88150534338, Ulica grada Vukovara 269d, 10000 Zagreb, za provedbom  postupka Prethodne ocjene prihvatljivosti za ekološku mrežu  zahvata zamjene antenskog stupa,  nakon provedenog postupka, donosi</w:t>
      </w:r>
    </w:p>
    <w:p w:rsidR="00590E42" w:rsidRDefault="00590E42" w:rsidP="00590E42">
      <w:pPr>
        <w:pStyle w:val="Bezproreda"/>
        <w:jc w:val="center"/>
        <w:rPr>
          <w:rFonts w:ascii="Tahoma" w:hAnsi="Tahoma" w:cs="Tahoma"/>
          <w:sz w:val="20"/>
          <w:szCs w:val="20"/>
        </w:rPr>
      </w:pPr>
    </w:p>
    <w:p w:rsidR="00590E42" w:rsidRDefault="00590E42" w:rsidP="00590E42">
      <w:pPr>
        <w:pStyle w:val="Bezproreda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R   J   E   Š   E   NJ   E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590E42" w:rsidRDefault="00590E42" w:rsidP="00590E42">
      <w:pPr>
        <w:pStyle w:val="Bezproreda"/>
        <w:numPr>
          <w:ilvl w:val="0"/>
          <w:numId w:val="1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Namjeravani  zahvat:  </w:t>
      </w:r>
      <w:r>
        <w:rPr>
          <w:rFonts w:ascii="Tahoma" w:hAnsi="Tahoma" w:cs="Tahoma"/>
          <w:b/>
          <w:bCs/>
          <w:sz w:val="20"/>
          <w:szCs w:val="20"/>
        </w:rPr>
        <w:t>„Zamjena antenskog stupa u k.o. Gređani“, na području Općine Stara Gradiška</w:t>
      </w:r>
      <w:r>
        <w:rPr>
          <w:rFonts w:ascii="Tahoma" w:hAnsi="Tahoma" w:cs="Tahoma"/>
          <w:b/>
          <w:sz w:val="20"/>
          <w:szCs w:val="20"/>
        </w:rPr>
        <w:t>,  Brodsko-posavska  županija,</w:t>
      </w:r>
      <w:r>
        <w:rPr>
          <w:rFonts w:ascii="Tahoma" w:hAnsi="Tahoma" w:cs="Tahoma"/>
          <w:sz w:val="20"/>
          <w:szCs w:val="20"/>
        </w:rPr>
        <w:t xml:space="preserve"> nositelj  zahvata: </w:t>
      </w:r>
      <w:r w:rsidR="005168D3">
        <w:rPr>
          <w:rFonts w:ascii="Tahoma" w:hAnsi="Tahoma" w:cs="Tahoma"/>
          <w:sz w:val="20"/>
          <w:szCs w:val="20"/>
        </w:rPr>
        <w:t>Odašiljači i veze d.o.o. iz Zagreba</w:t>
      </w:r>
      <w:r w:rsidRPr="00C421F6">
        <w:rPr>
          <w:rFonts w:ascii="Tahoma" w:hAnsi="Tahoma" w:cs="Tahoma"/>
          <w:bCs/>
          <w:sz w:val="20"/>
          <w:szCs w:val="20"/>
        </w:rPr>
        <w:t>,</w:t>
      </w:r>
      <w:r w:rsidR="005168D3">
        <w:rPr>
          <w:rFonts w:ascii="Tahoma" w:hAnsi="Tahoma" w:cs="Tahoma"/>
          <w:bCs/>
          <w:sz w:val="20"/>
          <w:szCs w:val="20"/>
        </w:rPr>
        <w:t xml:space="preserve"> Ulica grada Vukovara 269d,</w:t>
      </w:r>
      <w:r>
        <w:rPr>
          <w:rFonts w:ascii="Tahoma" w:hAnsi="Tahoma" w:cs="Tahoma"/>
          <w:b/>
          <w:sz w:val="20"/>
          <w:szCs w:val="20"/>
        </w:rPr>
        <w:t xml:space="preserve">  prihvatljiv  je  za  ekološku  mrežu</w:t>
      </w:r>
      <w:r>
        <w:rPr>
          <w:rFonts w:ascii="Tahoma" w:hAnsi="Tahoma" w:cs="Tahoma"/>
          <w:sz w:val="20"/>
          <w:szCs w:val="20"/>
        </w:rPr>
        <w:t>.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>2.</w:t>
      </w:r>
      <w:r>
        <w:rPr>
          <w:rFonts w:ascii="Tahoma" w:hAnsi="Tahoma" w:cs="Tahoma"/>
          <w:b/>
          <w:bCs/>
          <w:sz w:val="20"/>
          <w:szCs w:val="20"/>
        </w:rPr>
        <w:t xml:space="preserve">     </w:t>
      </w:r>
      <w:r>
        <w:rPr>
          <w:rFonts w:ascii="Tahoma" w:hAnsi="Tahoma" w:cs="Tahoma"/>
          <w:sz w:val="20"/>
          <w:szCs w:val="20"/>
        </w:rPr>
        <w:t>Ovo Rješenje izdaje se na rok od četiri godine.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3.    Ovo Rješenje objavljuje  se  na  mrežnim  stranicama Brodsko-posavske županije.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590E42" w:rsidRDefault="00590E42" w:rsidP="00590E42">
      <w:pPr>
        <w:pStyle w:val="Bezproreda"/>
        <w:jc w:val="center"/>
        <w:rPr>
          <w:rFonts w:ascii="Tahoma" w:hAnsi="Tahoma" w:cs="Tahoma"/>
          <w:sz w:val="20"/>
          <w:szCs w:val="20"/>
        </w:rPr>
      </w:pPr>
    </w:p>
    <w:p w:rsidR="00590E42" w:rsidRDefault="00590E42" w:rsidP="00590E42">
      <w:pPr>
        <w:pStyle w:val="Bezproreda"/>
        <w:jc w:val="center"/>
        <w:rPr>
          <w:rFonts w:ascii="Tahoma" w:hAnsi="Tahoma" w:cs="Tahoma"/>
          <w:b/>
          <w:bCs/>
          <w:i/>
          <w:iCs/>
          <w:sz w:val="20"/>
          <w:szCs w:val="20"/>
        </w:rPr>
      </w:pPr>
      <w:r>
        <w:rPr>
          <w:rFonts w:ascii="Tahoma" w:hAnsi="Tahoma" w:cs="Tahoma"/>
          <w:b/>
          <w:bCs/>
          <w:i/>
          <w:iCs/>
          <w:sz w:val="20"/>
          <w:szCs w:val="20"/>
        </w:rPr>
        <w:t>O  b  r  a  z  l  o  ž  e  nj  e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Brodsko-posavska županija, Upravni odjel za graditeljstvo, infrastrukturu i zaštitu okoliša, je zaprimio dana </w:t>
      </w:r>
      <w:r w:rsidR="005168D3">
        <w:rPr>
          <w:rFonts w:ascii="Tahoma" w:hAnsi="Tahoma" w:cs="Tahoma"/>
          <w:sz w:val="20"/>
          <w:szCs w:val="20"/>
        </w:rPr>
        <w:t>8. kolovoza</w:t>
      </w:r>
      <w:r>
        <w:rPr>
          <w:rFonts w:ascii="Tahoma" w:hAnsi="Tahoma" w:cs="Tahoma"/>
          <w:sz w:val="20"/>
          <w:szCs w:val="20"/>
        </w:rPr>
        <w:t xml:space="preserve">  2024. god., zahtjev  nositelja</w:t>
      </w:r>
      <w:r w:rsidR="005168D3">
        <w:rPr>
          <w:rFonts w:ascii="Tahoma" w:hAnsi="Tahoma" w:cs="Tahoma"/>
          <w:sz w:val="20"/>
          <w:szCs w:val="20"/>
        </w:rPr>
        <w:t xml:space="preserve"> tvrtke Odašiljači i veze d.o.o. iz Zagreba, Ulica grada Vukovara 269d,</w:t>
      </w:r>
      <w:r>
        <w:rPr>
          <w:rFonts w:ascii="Tahoma" w:hAnsi="Tahoma" w:cs="Tahoma"/>
          <w:sz w:val="20"/>
          <w:szCs w:val="20"/>
        </w:rPr>
        <w:t xml:space="preserve"> za </w:t>
      </w:r>
      <w:r w:rsidR="002A11BE">
        <w:rPr>
          <w:rFonts w:ascii="Tahoma" w:hAnsi="Tahoma" w:cs="Tahoma"/>
          <w:sz w:val="20"/>
          <w:szCs w:val="20"/>
        </w:rPr>
        <w:t xml:space="preserve">pokretanjem </w:t>
      </w:r>
      <w:r>
        <w:rPr>
          <w:rFonts w:ascii="Tahoma" w:hAnsi="Tahoma" w:cs="Tahoma"/>
          <w:sz w:val="20"/>
          <w:szCs w:val="20"/>
        </w:rPr>
        <w:t xml:space="preserve">postupka Prethodne ocjene prihvatljivosti za ekološku mrežu za zahvat  </w:t>
      </w:r>
      <w:r w:rsidR="005168D3">
        <w:rPr>
          <w:rFonts w:ascii="Tahoma" w:hAnsi="Tahoma" w:cs="Tahoma"/>
          <w:sz w:val="20"/>
          <w:szCs w:val="20"/>
        </w:rPr>
        <w:t>zamjene antenskog stupa</w:t>
      </w:r>
      <w:r>
        <w:rPr>
          <w:rFonts w:ascii="Tahoma" w:hAnsi="Tahoma" w:cs="Tahoma"/>
          <w:sz w:val="20"/>
          <w:szCs w:val="20"/>
        </w:rPr>
        <w:t xml:space="preserve">, na </w:t>
      </w:r>
      <w:r>
        <w:rPr>
          <w:rFonts w:ascii="Arial" w:hAnsi="Arial" w:cs="Arial"/>
          <w:sz w:val="20"/>
          <w:szCs w:val="20"/>
        </w:rPr>
        <w:t xml:space="preserve">kčbr. </w:t>
      </w:r>
      <w:r w:rsidR="005168D3">
        <w:rPr>
          <w:rFonts w:ascii="Arial" w:hAnsi="Arial" w:cs="Arial"/>
          <w:sz w:val="20"/>
          <w:szCs w:val="20"/>
        </w:rPr>
        <w:t>1404/1</w:t>
      </w:r>
      <w:r>
        <w:rPr>
          <w:rFonts w:ascii="Arial" w:hAnsi="Arial" w:cs="Arial"/>
          <w:sz w:val="20"/>
          <w:szCs w:val="20"/>
        </w:rPr>
        <w:t xml:space="preserve"> k.o.</w:t>
      </w:r>
      <w:r w:rsidR="005168D3">
        <w:rPr>
          <w:rFonts w:ascii="Arial" w:hAnsi="Arial" w:cs="Arial"/>
          <w:sz w:val="20"/>
          <w:szCs w:val="20"/>
        </w:rPr>
        <w:t xml:space="preserve"> Gređani</w:t>
      </w:r>
      <w:r>
        <w:rPr>
          <w:rFonts w:ascii="Tahoma" w:hAnsi="Tahoma" w:cs="Tahoma"/>
          <w:sz w:val="20"/>
          <w:szCs w:val="20"/>
        </w:rPr>
        <w:t>, na području Općine</w:t>
      </w:r>
      <w:r w:rsidR="005168D3">
        <w:rPr>
          <w:rFonts w:ascii="Tahoma" w:hAnsi="Tahoma" w:cs="Tahoma"/>
          <w:sz w:val="20"/>
          <w:szCs w:val="20"/>
        </w:rPr>
        <w:t xml:space="preserve"> Stara Gradiška</w:t>
      </w:r>
      <w:r>
        <w:rPr>
          <w:rFonts w:ascii="Tahoma" w:hAnsi="Tahoma" w:cs="Tahoma"/>
          <w:sz w:val="20"/>
          <w:szCs w:val="20"/>
        </w:rPr>
        <w:t>. Zahtjev je u skladu s  odredbama članka 30. stavka 2. Zakona o zaštiti prirode,  te je uz zahtjev dostavljen</w:t>
      </w:r>
      <w:r w:rsidR="0043015C">
        <w:rPr>
          <w:rFonts w:ascii="Tahoma" w:hAnsi="Tahoma" w:cs="Tahoma"/>
          <w:sz w:val="20"/>
          <w:szCs w:val="20"/>
        </w:rPr>
        <w:t xml:space="preserve"> kartografski prikaz i</w:t>
      </w:r>
      <w:r>
        <w:rPr>
          <w:rFonts w:ascii="Tahoma" w:hAnsi="Tahoma" w:cs="Tahoma"/>
          <w:sz w:val="20"/>
          <w:szCs w:val="20"/>
        </w:rPr>
        <w:t xml:space="preserve"> Idejno rješenje (koji je izradio </w:t>
      </w:r>
      <w:r w:rsidR="0043015C">
        <w:rPr>
          <w:rFonts w:ascii="Tahoma" w:hAnsi="Tahoma" w:cs="Tahoma"/>
          <w:sz w:val="20"/>
          <w:szCs w:val="20"/>
        </w:rPr>
        <w:t>OIV Digitalni signali i mreže, br. 610/23; u listopadu 2023. god</w:t>
      </w:r>
      <w:r>
        <w:rPr>
          <w:rFonts w:ascii="Tahoma" w:hAnsi="Tahoma" w:cs="Tahoma"/>
          <w:sz w:val="20"/>
          <w:szCs w:val="20"/>
        </w:rPr>
        <w:t xml:space="preserve">.). 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Upravni odjel  je  sukladno članku 30. stavak 3. Zakona o zaštiti prirode, dopisom (KLASA:UP/I 352-02/24-01/</w:t>
      </w:r>
      <w:r w:rsidR="0043015C">
        <w:rPr>
          <w:rFonts w:ascii="Tahoma" w:hAnsi="Tahoma" w:cs="Tahoma"/>
          <w:sz w:val="20"/>
          <w:szCs w:val="20"/>
        </w:rPr>
        <w:t>10</w:t>
      </w:r>
      <w:r>
        <w:rPr>
          <w:rFonts w:ascii="Tahoma" w:hAnsi="Tahoma" w:cs="Tahoma"/>
          <w:sz w:val="20"/>
          <w:szCs w:val="20"/>
        </w:rPr>
        <w:t>, URBROJ:2178-03-02/5-24-</w:t>
      </w:r>
      <w:r w:rsidR="0043015C">
        <w:rPr>
          <w:rFonts w:ascii="Tahoma" w:hAnsi="Tahoma" w:cs="Tahoma"/>
          <w:sz w:val="20"/>
          <w:szCs w:val="20"/>
        </w:rPr>
        <w:t>2</w:t>
      </w:r>
      <w:r>
        <w:rPr>
          <w:rFonts w:ascii="Tahoma" w:hAnsi="Tahoma" w:cs="Tahoma"/>
          <w:sz w:val="20"/>
          <w:szCs w:val="20"/>
        </w:rPr>
        <w:t xml:space="preserve">, od </w:t>
      </w:r>
      <w:r w:rsidR="0043015C">
        <w:rPr>
          <w:rFonts w:ascii="Tahoma" w:hAnsi="Tahoma" w:cs="Tahoma"/>
          <w:sz w:val="20"/>
          <w:szCs w:val="20"/>
        </w:rPr>
        <w:t>20</w:t>
      </w:r>
      <w:r>
        <w:rPr>
          <w:rFonts w:ascii="Tahoma" w:hAnsi="Tahoma" w:cs="Tahoma"/>
          <w:sz w:val="20"/>
          <w:szCs w:val="20"/>
        </w:rPr>
        <w:t>.</w:t>
      </w:r>
      <w:r w:rsidR="0043015C">
        <w:rPr>
          <w:rFonts w:ascii="Tahoma" w:hAnsi="Tahoma" w:cs="Tahoma"/>
          <w:sz w:val="20"/>
          <w:szCs w:val="20"/>
        </w:rPr>
        <w:t xml:space="preserve"> kolovoza</w:t>
      </w:r>
      <w:r>
        <w:rPr>
          <w:rFonts w:ascii="Tahoma" w:hAnsi="Tahoma" w:cs="Tahoma"/>
          <w:sz w:val="20"/>
          <w:szCs w:val="20"/>
        </w:rPr>
        <w:t xml:space="preserve"> 2024. god.), zatražio prethodno mišljenje Ministarstva gospodarstva i održivog razvoja, Zavoda za zaštitu okoliša i prirode. Ministarstvo, Zavod za zaštitu okoliša i prirode je dostavio </w:t>
      </w:r>
      <w:r w:rsidR="0043015C">
        <w:rPr>
          <w:rFonts w:ascii="Tahoma" w:hAnsi="Tahoma" w:cs="Tahoma"/>
          <w:sz w:val="20"/>
          <w:szCs w:val="20"/>
        </w:rPr>
        <w:t>dana 18. rujna 2024. godine,</w:t>
      </w:r>
      <w:r>
        <w:rPr>
          <w:rFonts w:ascii="Tahoma" w:hAnsi="Tahoma" w:cs="Tahoma"/>
          <w:sz w:val="20"/>
          <w:szCs w:val="20"/>
        </w:rPr>
        <w:t xml:space="preserve"> traženo mišljenje (KLASA: 352-03/24-02/</w:t>
      </w:r>
      <w:r w:rsidR="0043015C">
        <w:rPr>
          <w:rFonts w:ascii="Tahoma" w:hAnsi="Tahoma" w:cs="Tahoma"/>
          <w:sz w:val="20"/>
          <w:szCs w:val="20"/>
        </w:rPr>
        <w:t>975</w:t>
      </w:r>
      <w:r>
        <w:rPr>
          <w:rFonts w:ascii="Tahoma" w:hAnsi="Tahoma" w:cs="Tahoma"/>
          <w:sz w:val="20"/>
          <w:szCs w:val="20"/>
        </w:rPr>
        <w:t xml:space="preserve">, URBROJ: 517-12-2-3-2-24-2, od </w:t>
      </w:r>
      <w:r w:rsidR="0043015C">
        <w:rPr>
          <w:rFonts w:ascii="Tahoma" w:hAnsi="Tahoma" w:cs="Tahoma"/>
          <w:sz w:val="20"/>
          <w:szCs w:val="20"/>
        </w:rPr>
        <w:t>12</w:t>
      </w:r>
      <w:r>
        <w:rPr>
          <w:rFonts w:ascii="Tahoma" w:hAnsi="Tahoma" w:cs="Tahoma"/>
          <w:sz w:val="20"/>
          <w:szCs w:val="20"/>
        </w:rPr>
        <w:t>.</w:t>
      </w:r>
      <w:r w:rsidR="0043015C">
        <w:rPr>
          <w:rFonts w:ascii="Tahoma" w:hAnsi="Tahoma" w:cs="Tahoma"/>
          <w:sz w:val="20"/>
          <w:szCs w:val="20"/>
        </w:rPr>
        <w:t xml:space="preserve"> rujna</w:t>
      </w:r>
      <w:r>
        <w:rPr>
          <w:rFonts w:ascii="Tahoma" w:hAnsi="Tahoma" w:cs="Tahoma"/>
          <w:sz w:val="20"/>
          <w:szCs w:val="20"/>
        </w:rPr>
        <w:t xml:space="preserve">  2024. god.), o utjecaju  planiranog predmetnog zahvata na ciljeve očuvanja i cjelovitost područja ekološke mreže.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</w:p>
    <w:p w:rsidR="0030132B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 provedbi postupka, ovaj Upravni odjel je razmotrio predmetni zahtjev, priloženu dokumentaciju, podatke o ekološkoj mreži  (područja ekološke mreže, ciljne vrste i stanišne tipove) i zaprimljeno mišljenje Zavoda za zaštitu okoliša i prirode, te je utvrdio sljedeće.</w:t>
      </w:r>
    </w:p>
    <w:p w:rsidR="0030132B" w:rsidRDefault="0030132B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93665C" w:rsidRDefault="00590E42" w:rsidP="00590E4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Namjeravanim zahvatom je predviđen</w:t>
      </w:r>
      <w:r w:rsidR="00A856F9">
        <w:rPr>
          <w:rFonts w:ascii="Tahoma" w:hAnsi="Tahoma" w:cs="Tahoma"/>
          <w:sz w:val="20"/>
          <w:szCs w:val="20"/>
        </w:rPr>
        <w:t>o postavljenje antenskog stupa visine 48 m sa tri antene na kčbr. 1404/1 k.o. Gređani. Pristup do lokacije planiranog stupa je postojećom makadamskom cestom širine 3,5 – 4 m</w:t>
      </w:r>
      <w:r w:rsidR="009C5A95">
        <w:rPr>
          <w:rFonts w:ascii="Tahoma" w:hAnsi="Tahoma" w:cs="Tahoma"/>
          <w:sz w:val="20"/>
          <w:szCs w:val="20"/>
        </w:rPr>
        <w:t>, duljine oko 3 km</w:t>
      </w:r>
      <w:r w:rsidR="00A856F9">
        <w:rPr>
          <w:rFonts w:ascii="Tahoma" w:hAnsi="Tahoma" w:cs="Tahoma"/>
          <w:sz w:val="20"/>
          <w:szCs w:val="20"/>
        </w:rPr>
        <w:t xml:space="preserve"> i nisu potrebni radovi na pristupu. Za smještaj opreme instalirati će se kontejner </w:t>
      </w:r>
      <w:r w:rsidR="0093665C">
        <w:rPr>
          <w:rFonts w:ascii="Tahoma" w:hAnsi="Tahoma" w:cs="Tahoma"/>
          <w:sz w:val="20"/>
          <w:szCs w:val="20"/>
        </w:rPr>
        <w:t xml:space="preserve"> </w:t>
      </w:r>
      <w:r w:rsidR="00A856F9">
        <w:rPr>
          <w:rFonts w:ascii="Tahoma" w:hAnsi="Tahoma" w:cs="Tahoma"/>
          <w:sz w:val="20"/>
          <w:szCs w:val="20"/>
        </w:rPr>
        <w:t>dimenzija</w:t>
      </w:r>
      <w:r w:rsidR="0093665C">
        <w:rPr>
          <w:rFonts w:ascii="Tahoma" w:hAnsi="Tahoma" w:cs="Tahoma"/>
          <w:sz w:val="20"/>
          <w:szCs w:val="20"/>
        </w:rPr>
        <w:t xml:space="preserve"> </w:t>
      </w:r>
      <w:r w:rsidR="00A856F9">
        <w:rPr>
          <w:rFonts w:ascii="Tahoma" w:hAnsi="Tahoma" w:cs="Tahoma"/>
          <w:sz w:val="20"/>
          <w:szCs w:val="20"/>
        </w:rPr>
        <w:t xml:space="preserve"> 1,5 x 1,5 m, </w:t>
      </w:r>
      <w:r w:rsidR="0093665C">
        <w:rPr>
          <w:rFonts w:ascii="Tahoma" w:hAnsi="Tahoma" w:cs="Tahoma"/>
          <w:sz w:val="20"/>
          <w:szCs w:val="20"/>
        </w:rPr>
        <w:t xml:space="preserve"> </w:t>
      </w:r>
      <w:r w:rsidR="00A856F9">
        <w:rPr>
          <w:rFonts w:ascii="Tahoma" w:hAnsi="Tahoma" w:cs="Tahoma"/>
          <w:sz w:val="20"/>
          <w:szCs w:val="20"/>
        </w:rPr>
        <w:t>na</w:t>
      </w:r>
      <w:r w:rsidR="0093665C">
        <w:rPr>
          <w:rFonts w:ascii="Tahoma" w:hAnsi="Tahoma" w:cs="Tahoma"/>
          <w:sz w:val="20"/>
          <w:szCs w:val="20"/>
        </w:rPr>
        <w:t xml:space="preserve"> </w:t>
      </w:r>
      <w:r w:rsidR="00A856F9">
        <w:rPr>
          <w:rFonts w:ascii="Tahoma" w:hAnsi="Tahoma" w:cs="Tahoma"/>
          <w:sz w:val="20"/>
          <w:szCs w:val="20"/>
        </w:rPr>
        <w:t xml:space="preserve"> armiranobetonskim</w:t>
      </w:r>
      <w:r w:rsidR="0093665C">
        <w:rPr>
          <w:rFonts w:ascii="Tahoma" w:hAnsi="Tahoma" w:cs="Tahoma"/>
          <w:sz w:val="20"/>
          <w:szCs w:val="20"/>
        </w:rPr>
        <w:t xml:space="preserve"> </w:t>
      </w:r>
      <w:r w:rsidR="00A856F9">
        <w:rPr>
          <w:rFonts w:ascii="Tahoma" w:hAnsi="Tahoma" w:cs="Tahoma"/>
          <w:sz w:val="20"/>
          <w:szCs w:val="20"/>
        </w:rPr>
        <w:t xml:space="preserve"> temeljima, a </w:t>
      </w:r>
      <w:r w:rsidR="0093665C">
        <w:rPr>
          <w:rFonts w:ascii="Tahoma" w:hAnsi="Tahoma" w:cs="Tahoma"/>
          <w:sz w:val="20"/>
          <w:szCs w:val="20"/>
        </w:rPr>
        <w:t xml:space="preserve"> </w:t>
      </w:r>
      <w:r w:rsidR="00A856F9">
        <w:rPr>
          <w:rFonts w:ascii="Tahoma" w:hAnsi="Tahoma" w:cs="Tahoma"/>
          <w:sz w:val="20"/>
          <w:szCs w:val="20"/>
        </w:rPr>
        <w:t>postaviti</w:t>
      </w:r>
      <w:r w:rsidR="0093665C">
        <w:rPr>
          <w:rFonts w:ascii="Tahoma" w:hAnsi="Tahoma" w:cs="Tahoma"/>
          <w:sz w:val="20"/>
          <w:szCs w:val="20"/>
        </w:rPr>
        <w:t xml:space="preserve"> </w:t>
      </w:r>
      <w:r w:rsidR="00A856F9">
        <w:rPr>
          <w:rFonts w:ascii="Tahoma" w:hAnsi="Tahoma" w:cs="Tahoma"/>
          <w:sz w:val="20"/>
          <w:szCs w:val="20"/>
        </w:rPr>
        <w:t xml:space="preserve"> će</w:t>
      </w:r>
      <w:r w:rsidR="0093665C">
        <w:rPr>
          <w:rFonts w:ascii="Tahoma" w:hAnsi="Tahoma" w:cs="Tahoma"/>
          <w:sz w:val="20"/>
          <w:szCs w:val="20"/>
        </w:rPr>
        <w:t xml:space="preserve"> </w:t>
      </w:r>
      <w:r w:rsidR="00A856F9">
        <w:rPr>
          <w:rFonts w:ascii="Tahoma" w:hAnsi="Tahoma" w:cs="Tahoma"/>
          <w:sz w:val="20"/>
          <w:szCs w:val="20"/>
        </w:rPr>
        <w:t xml:space="preserve"> se</w:t>
      </w:r>
      <w:r w:rsidR="0093665C">
        <w:rPr>
          <w:rFonts w:ascii="Tahoma" w:hAnsi="Tahoma" w:cs="Tahoma"/>
          <w:sz w:val="20"/>
          <w:szCs w:val="20"/>
        </w:rPr>
        <w:t xml:space="preserve"> </w:t>
      </w:r>
      <w:r w:rsidR="00A856F9">
        <w:rPr>
          <w:rFonts w:ascii="Tahoma" w:hAnsi="Tahoma" w:cs="Tahoma"/>
          <w:sz w:val="20"/>
          <w:szCs w:val="20"/>
        </w:rPr>
        <w:t xml:space="preserve"> horizontalna</w:t>
      </w:r>
    </w:p>
    <w:p w:rsidR="0093665C" w:rsidRDefault="0093665C" w:rsidP="00590E4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                          1</w:t>
      </w:r>
      <w:r w:rsidR="00A856F9">
        <w:rPr>
          <w:rFonts w:ascii="Tahoma" w:hAnsi="Tahoma" w:cs="Tahoma"/>
          <w:sz w:val="20"/>
          <w:szCs w:val="20"/>
        </w:rPr>
        <w:t xml:space="preserve"> </w:t>
      </w:r>
    </w:p>
    <w:p w:rsidR="0013597F" w:rsidRDefault="00A856F9" w:rsidP="00590E4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kabelska trasa ukupne širine 30 cm od ormarića do antenskog stupa</w:t>
      </w:r>
      <w:r w:rsidR="009C5A95">
        <w:rPr>
          <w:rFonts w:ascii="Tahoma" w:hAnsi="Tahoma" w:cs="Tahoma"/>
          <w:sz w:val="20"/>
          <w:szCs w:val="20"/>
        </w:rPr>
        <w:t>, te vertikalna trasa na stupu ukupne širine 30 cm, do visine 57,5 m</w:t>
      </w:r>
      <w:r>
        <w:rPr>
          <w:rFonts w:ascii="Tahoma" w:hAnsi="Tahoma" w:cs="Tahoma"/>
          <w:sz w:val="20"/>
          <w:szCs w:val="20"/>
        </w:rPr>
        <w:t xml:space="preserve">.  Obuhvat zahvata iznosi </w:t>
      </w:r>
      <w:r w:rsidR="0093665C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približno </w:t>
      </w:r>
      <w:r w:rsidR="0093665C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13 x 14 m, a </w:t>
      </w:r>
      <w:r w:rsidR="0093665C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ograđuje se </w:t>
      </w:r>
      <w:r w:rsidR="0093665C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ogradom</w:t>
      </w:r>
      <w:r w:rsidR="0093665C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                            </w:t>
      </w:r>
      <w:r>
        <w:rPr>
          <w:rFonts w:ascii="Tahoma" w:hAnsi="Tahoma" w:cs="Tahoma"/>
          <w:sz w:val="20"/>
          <w:szCs w:val="20"/>
        </w:rPr>
        <w:t>visine do 1,8 m</w:t>
      </w:r>
      <w:r w:rsidR="009C5A95">
        <w:rPr>
          <w:rFonts w:ascii="Tahoma" w:hAnsi="Tahoma" w:cs="Tahoma"/>
          <w:sz w:val="20"/>
          <w:szCs w:val="20"/>
        </w:rPr>
        <w:t xml:space="preserve"> sa kolnim ulazom</w:t>
      </w:r>
      <w:r>
        <w:rPr>
          <w:rFonts w:ascii="Tahoma" w:hAnsi="Tahoma" w:cs="Tahoma"/>
          <w:sz w:val="20"/>
          <w:szCs w:val="20"/>
        </w:rPr>
        <w:t xml:space="preserve">. Napominje se da je iz dostavljene dokumentacije utvrđeno kako se </w:t>
      </w:r>
    </w:p>
    <w:p w:rsidR="00A856F9" w:rsidRPr="00A856F9" w:rsidRDefault="00A856F9" w:rsidP="00590E4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radi o postavljanju novog stupa, iako je u nazivu zahtjeva navedeno da se radio o zamjeni, te se rješenje odnosi na izgradnju stupa.</w:t>
      </w:r>
    </w:p>
    <w:p w:rsidR="00590E42" w:rsidRPr="00FF5137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590E42" w:rsidRDefault="00590E42" w:rsidP="00590E4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14:ligatures w14:val="standardContextual"/>
        </w:rPr>
      </w:pPr>
      <w:r w:rsidRPr="00FF5137">
        <w:rPr>
          <w:rFonts w:ascii="Tahoma" w:hAnsi="Tahoma" w:cs="Tahoma"/>
          <w:sz w:val="20"/>
          <w:szCs w:val="20"/>
          <w14:ligatures w14:val="standardContextual"/>
        </w:rPr>
        <w:t>Planirani zahvat nalazi se unutar područja ekološke mreže (Uredba o ekološkoj mre</w:t>
      </w:r>
      <w:r>
        <w:rPr>
          <w:rFonts w:ascii="Tahoma" w:hAnsi="Tahoma" w:cs="Tahoma"/>
          <w:sz w:val="20"/>
          <w:szCs w:val="20"/>
          <w14:ligatures w14:val="standardContextual"/>
        </w:rPr>
        <w:t xml:space="preserve">ži i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nadležnostima javnih ustanova za upravljanje područjima ekološke mreže, </w:t>
      </w:r>
      <w:r>
        <w:rPr>
          <w:rFonts w:ascii="Tahoma" w:hAnsi="Tahoma" w:cs="Tahoma"/>
          <w:sz w:val="20"/>
          <w:szCs w:val="20"/>
          <w14:ligatures w14:val="standardContextual"/>
        </w:rPr>
        <w:t>„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>Narodne novine</w:t>
      </w:r>
      <w:r>
        <w:rPr>
          <w:rFonts w:ascii="Tahoma" w:hAnsi="Tahoma" w:cs="Tahoma"/>
          <w:sz w:val="20"/>
          <w:szCs w:val="20"/>
          <w14:ligatures w14:val="standardContextual"/>
        </w:rPr>
        <w:t>“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>, br</w:t>
      </w:r>
      <w:r>
        <w:rPr>
          <w:rFonts w:ascii="Tahoma" w:hAnsi="Tahoma" w:cs="Tahoma"/>
          <w:sz w:val="20"/>
          <w:szCs w:val="20"/>
          <w14:ligatures w14:val="standardContextual"/>
        </w:rPr>
        <w:t xml:space="preserve">. 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>80/19</w:t>
      </w:r>
      <w:r>
        <w:rPr>
          <w:rFonts w:ascii="Tahoma" w:hAnsi="Tahoma" w:cs="Tahoma"/>
          <w:sz w:val="20"/>
          <w:szCs w:val="20"/>
          <w14:ligatures w14:val="standardContextual"/>
        </w:rPr>
        <w:t xml:space="preserve"> i</w:t>
      </w:r>
      <w:r w:rsidRPr="00FF5137">
        <w:rPr>
          <w:rFonts w:ascii="Tahoma" w:hAnsi="Tahoma" w:cs="Tahoma"/>
          <w:sz w:val="20"/>
          <w:szCs w:val="20"/>
          <w14:ligatures w14:val="standardContextual"/>
        </w:rPr>
        <w:t xml:space="preserve"> 119/23): Područja očuvanja značajnog za ptice (POP) </w:t>
      </w:r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HR10</w:t>
      </w:r>
      <w:r>
        <w:rPr>
          <w:rFonts w:ascii="Tahoma" w:hAnsi="Tahoma" w:cs="Tahoma"/>
          <w:i/>
          <w:iCs/>
          <w:sz w:val="20"/>
          <w:szCs w:val="20"/>
          <w14:ligatures w14:val="standardContextual"/>
        </w:rPr>
        <w:t>0</w:t>
      </w:r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000</w:t>
      </w:r>
      <w:r w:rsidR="009C5A95">
        <w:rPr>
          <w:rFonts w:ascii="Tahoma" w:hAnsi="Tahoma" w:cs="Tahoma"/>
          <w:i/>
          <w:iCs/>
          <w:sz w:val="20"/>
          <w:szCs w:val="20"/>
          <w14:ligatures w14:val="standardContextual"/>
        </w:rPr>
        <w:t>4</w:t>
      </w:r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 xml:space="preserve"> </w:t>
      </w:r>
      <w:r w:rsidR="009C5A95">
        <w:rPr>
          <w:rFonts w:ascii="Tahoma" w:hAnsi="Tahoma" w:cs="Tahoma"/>
          <w:i/>
          <w:iCs/>
          <w:sz w:val="20"/>
          <w:szCs w:val="20"/>
          <w14:ligatures w14:val="standardContextual"/>
        </w:rPr>
        <w:t>Donja Posavina</w:t>
      </w:r>
      <w:r w:rsidRPr="00FF5137">
        <w:rPr>
          <w:rFonts w:ascii="Tahoma" w:hAnsi="Tahoma" w:cs="Tahoma"/>
          <w:i/>
          <w:iCs/>
          <w:sz w:val="20"/>
          <w:szCs w:val="20"/>
          <w14:ligatures w14:val="standardContextual"/>
        </w:rPr>
        <w:t>.</w:t>
      </w:r>
    </w:p>
    <w:p w:rsidR="00590E42" w:rsidRPr="002436F6" w:rsidRDefault="009C5A95" w:rsidP="002436F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14:ligatures w14:val="standardContextual"/>
        </w:rPr>
      </w:pPr>
      <w:r>
        <w:rPr>
          <w:rFonts w:ascii="Tahoma" w:hAnsi="Tahoma" w:cs="Tahoma"/>
          <w:sz w:val="20"/>
          <w:szCs w:val="20"/>
          <w14:ligatures w14:val="standardContextual"/>
        </w:rPr>
        <w:t>Uvidom u dostupne podatke (Digitalna ortofoto karta Republike Hrvatske, baza podataka Hrvatske šume d.o.o.), zahvat je planiran neposredno uz postojeću prometnicu, na rubnom dijelu sastojine poljskog jasena. S obzirom na to da  šumske sastojine i rubovi šuma predstavljaju pogodno stanište za pojedine ciljne vrste ptica (orao kliktaš (</w:t>
      </w:r>
      <w:r w:rsidRPr="002300DB">
        <w:rPr>
          <w:rFonts w:ascii="Tahoma" w:hAnsi="Tahoma" w:cs="Tahoma"/>
          <w:i/>
          <w:iCs/>
          <w:sz w:val="20"/>
          <w:szCs w:val="20"/>
          <w14:ligatures w14:val="standardContextual"/>
        </w:rPr>
        <w:t>A</w:t>
      </w:r>
      <w:r w:rsidR="002300DB" w:rsidRPr="002300DB">
        <w:rPr>
          <w:rFonts w:ascii="Tahoma" w:hAnsi="Tahoma" w:cs="Tahoma"/>
          <w:i/>
          <w:iCs/>
          <w:sz w:val="20"/>
          <w:szCs w:val="20"/>
          <w14:ligatures w14:val="standardContextual"/>
        </w:rPr>
        <w:t>quila pomarina</w:t>
      </w:r>
      <w:r w:rsidR="002300DB">
        <w:rPr>
          <w:rFonts w:ascii="Tahoma" w:hAnsi="Tahoma" w:cs="Tahoma"/>
          <w:sz w:val="20"/>
          <w:szCs w:val="20"/>
          <w14:ligatures w14:val="standardContextual"/>
        </w:rPr>
        <w:t>), crna roda (</w:t>
      </w:r>
      <w:r w:rsidR="002300DB" w:rsidRPr="002300DB">
        <w:rPr>
          <w:rFonts w:ascii="Tahoma" w:hAnsi="Tahoma" w:cs="Tahoma"/>
          <w:i/>
          <w:iCs/>
          <w:sz w:val="20"/>
          <w:szCs w:val="20"/>
          <w14:ligatures w14:val="standardContextual"/>
        </w:rPr>
        <w:t>Ciconia nigra</w:t>
      </w:r>
      <w:r w:rsidR="002300DB">
        <w:rPr>
          <w:rFonts w:ascii="Tahoma" w:hAnsi="Tahoma" w:cs="Tahoma"/>
          <w:sz w:val="20"/>
          <w:szCs w:val="20"/>
          <w14:ligatures w14:val="standardContextual"/>
        </w:rPr>
        <w:t>), crna žuna (</w:t>
      </w:r>
      <w:r w:rsidR="002300DB" w:rsidRPr="002300DB">
        <w:rPr>
          <w:rFonts w:ascii="Tahoma" w:hAnsi="Tahoma" w:cs="Tahoma"/>
          <w:i/>
          <w:iCs/>
          <w:sz w:val="20"/>
          <w:szCs w:val="20"/>
          <w14:ligatures w14:val="standardContextual"/>
        </w:rPr>
        <w:t>Dryocopus martius</w:t>
      </w:r>
      <w:r w:rsidR="002300DB">
        <w:rPr>
          <w:rFonts w:ascii="Tahoma" w:hAnsi="Tahoma" w:cs="Tahoma"/>
          <w:sz w:val="20"/>
          <w:szCs w:val="20"/>
          <w14:ligatures w14:val="standardContextual"/>
        </w:rPr>
        <w:t>), bjelovrata muharica (</w:t>
      </w:r>
      <w:r w:rsidR="002300DB" w:rsidRPr="002300DB">
        <w:rPr>
          <w:rFonts w:ascii="Tahoma" w:hAnsi="Tahoma" w:cs="Tahoma"/>
          <w:i/>
          <w:iCs/>
          <w:sz w:val="20"/>
          <w:szCs w:val="20"/>
          <w14:ligatures w14:val="standardContextual"/>
        </w:rPr>
        <w:t>Ficedula albicollis</w:t>
      </w:r>
      <w:r w:rsidR="002300DB">
        <w:rPr>
          <w:rFonts w:ascii="Tahoma" w:hAnsi="Tahoma" w:cs="Tahoma"/>
          <w:sz w:val="20"/>
          <w:szCs w:val="20"/>
          <w14:ligatures w14:val="standardContextual"/>
        </w:rPr>
        <w:t>), štakavac (</w:t>
      </w:r>
      <w:r w:rsidR="002300DB" w:rsidRPr="002300DB">
        <w:rPr>
          <w:rFonts w:ascii="Tahoma" w:hAnsi="Tahoma" w:cs="Tahoma"/>
          <w:i/>
          <w:iCs/>
          <w:sz w:val="20"/>
          <w:szCs w:val="20"/>
          <w14:ligatures w14:val="standardContextual"/>
        </w:rPr>
        <w:t>Haliaeetus albicilla</w:t>
      </w:r>
      <w:r w:rsidR="002300DB">
        <w:rPr>
          <w:rFonts w:ascii="Tahoma" w:hAnsi="Tahoma" w:cs="Tahoma"/>
          <w:sz w:val="20"/>
          <w:szCs w:val="20"/>
          <w14:ligatures w14:val="standardContextual"/>
        </w:rPr>
        <w:t>), crna lunja (</w:t>
      </w:r>
      <w:r w:rsidR="002300DB" w:rsidRPr="002300DB">
        <w:rPr>
          <w:rFonts w:ascii="Tahoma" w:hAnsi="Tahoma" w:cs="Tahoma"/>
          <w:i/>
          <w:iCs/>
          <w:sz w:val="20"/>
          <w:szCs w:val="20"/>
          <w14:ligatures w14:val="standardContextual"/>
        </w:rPr>
        <w:t>Milvus migrans</w:t>
      </w:r>
      <w:r w:rsidR="002300DB">
        <w:rPr>
          <w:rFonts w:ascii="Tahoma" w:hAnsi="Tahoma" w:cs="Tahoma"/>
          <w:sz w:val="20"/>
          <w:szCs w:val="20"/>
          <w14:ligatures w14:val="standardContextual"/>
        </w:rPr>
        <w:t>), škanjac osaš (</w:t>
      </w:r>
      <w:r w:rsidR="002300DB" w:rsidRPr="002300DB">
        <w:rPr>
          <w:rFonts w:ascii="Tahoma" w:hAnsi="Tahoma" w:cs="Tahoma"/>
          <w:i/>
          <w:iCs/>
          <w:sz w:val="20"/>
          <w:szCs w:val="20"/>
          <w14:ligatures w14:val="standardContextual"/>
        </w:rPr>
        <w:t>Pernis apivorus</w:t>
      </w:r>
      <w:r w:rsidR="002300DB">
        <w:rPr>
          <w:rFonts w:ascii="Tahoma" w:hAnsi="Tahoma" w:cs="Tahoma"/>
          <w:sz w:val="20"/>
          <w:szCs w:val="20"/>
          <w14:ligatures w14:val="standardContextual"/>
        </w:rPr>
        <w:t>), siva žuna (</w:t>
      </w:r>
      <w:r w:rsidR="002300DB" w:rsidRPr="002300DB">
        <w:rPr>
          <w:rFonts w:ascii="Tahoma" w:hAnsi="Tahoma" w:cs="Tahoma"/>
          <w:i/>
          <w:iCs/>
          <w:sz w:val="20"/>
          <w:szCs w:val="20"/>
          <w14:ligatures w14:val="standardContextual"/>
        </w:rPr>
        <w:t>Picus canus</w:t>
      </w:r>
      <w:r w:rsidR="002300DB">
        <w:rPr>
          <w:rFonts w:ascii="Tahoma" w:hAnsi="Tahoma" w:cs="Tahoma"/>
          <w:sz w:val="20"/>
          <w:szCs w:val="20"/>
          <w14:ligatures w14:val="standardContextual"/>
        </w:rPr>
        <w:t>)), provedbom zahvata doći će do gubitka najviše oko 200 m</w:t>
      </w:r>
      <w:r w:rsidR="002300DB">
        <w:rPr>
          <w:rFonts w:ascii="Tahoma" w:hAnsi="Tahoma" w:cs="Tahoma"/>
          <w:sz w:val="20"/>
          <w:szCs w:val="20"/>
          <w:vertAlign w:val="superscript"/>
          <w14:ligatures w14:val="standardContextual"/>
        </w:rPr>
        <w:t>2</w:t>
      </w:r>
      <w:r w:rsidR="002300DB">
        <w:rPr>
          <w:rFonts w:ascii="Tahoma" w:hAnsi="Tahoma" w:cs="Tahoma"/>
          <w:sz w:val="20"/>
          <w:szCs w:val="20"/>
          <w14:ligatures w14:val="standardContextual"/>
        </w:rPr>
        <w:t xml:space="preserve"> njihovih pogodnih staništa. Uzimajući u obzir ukupnu rasprostranjenost njihovih pogodnih staništa unutar područja ekološke mreže (između 40580 i 49020 ha), može se isključiti mogućnost značajnog negativnog utjecaja na POP </w:t>
      </w:r>
      <w:r w:rsidR="002300DB" w:rsidRPr="002300DB">
        <w:rPr>
          <w:rFonts w:ascii="Tahoma" w:hAnsi="Tahoma" w:cs="Tahoma"/>
          <w:i/>
          <w:iCs/>
          <w:sz w:val="20"/>
          <w:szCs w:val="20"/>
          <w14:ligatures w14:val="standardContextual"/>
        </w:rPr>
        <w:t>HR1000004 Donja Posavina</w:t>
      </w:r>
      <w:r w:rsidR="002300DB">
        <w:rPr>
          <w:rFonts w:ascii="Tahoma" w:hAnsi="Tahoma" w:cs="Tahoma"/>
          <w:sz w:val="20"/>
          <w:szCs w:val="20"/>
          <w14:ligatures w14:val="standardContextual"/>
        </w:rPr>
        <w:t>.</w:t>
      </w:r>
      <w:r w:rsidR="00D97C72">
        <w:rPr>
          <w:rFonts w:ascii="Tahoma" w:hAnsi="Tahoma" w:cs="Tahoma"/>
          <w:sz w:val="20"/>
          <w:szCs w:val="20"/>
          <w14:ligatures w14:val="standardContextual"/>
        </w:rPr>
        <w:t xml:space="preserve"> Povećanje razine buke i prašine biti će kratkotrajno za vrijeme postavljanja, te povremeno kod radova montaže i/ili zamjene opreme.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Slijedom iznesenog  u provedenom postupku, analizom mogućih značajnih negativnih utjecaja predmetnog zahvata na ciljeve očuvanja i cjelovitost područja ekološke mreže, uvažavajući gore navedeno mišljenje Zavoda za zaštitu okoliša i prirode,   za namjeravani zahvat </w:t>
      </w:r>
      <w:r w:rsidR="0013597F">
        <w:rPr>
          <w:rFonts w:ascii="Tahoma" w:hAnsi="Tahoma" w:cs="Tahoma"/>
          <w:sz w:val="20"/>
          <w:szCs w:val="20"/>
        </w:rPr>
        <w:t xml:space="preserve"> zamjene</w:t>
      </w:r>
      <w:r w:rsidR="00A70F00">
        <w:rPr>
          <w:rFonts w:ascii="Tahoma" w:hAnsi="Tahoma" w:cs="Tahoma"/>
          <w:sz w:val="20"/>
          <w:szCs w:val="20"/>
        </w:rPr>
        <w:t>/postavljanja</w:t>
      </w:r>
      <w:r w:rsidR="0013597F">
        <w:rPr>
          <w:rFonts w:ascii="Tahoma" w:hAnsi="Tahoma" w:cs="Tahoma"/>
          <w:sz w:val="20"/>
          <w:szCs w:val="20"/>
        </w:rPr>
        <w:t xml:space="preserve"> antenskog stupa</w:t>
      </w:r>
      <w:r>
        <w:rPr>
          <w:rFonts w:ascii="Tahoma" w:hAnsi="Tahoma" w:cs="Tahoma"/>
          <w:sz w:val="20"/>
          <w:szCs w:val="20"/>
        </w:rPr>
        <w:t xml:space="preserve">, na kčbr. </w:t>
      </w:r>
      <w:r w:rsidR="0013597F">
        <w:rPr>
          <w:rFonts w:ascii="Tahoma" w:hAnsi="Tahoma" w:cs="Tahoma"/>
          <w:sz w:val="20"/>
          <w:szCs w:val="20"/>
        </w:rPr>
        <w:t>1404/1</w:t>
      </w:r>
      <w:r>
        <w:rPr>
          <w:rFonts w:ascii="Tahoma" w:hAnsi="Tahoma" w:cs="Tahoma"/>
          <w:sz w:val="20"/>
          <w:szCs w:val="20"/>
        </w:rPr>
        <w:t xml:space="preserve"> k.o. </w:t>
      </w:r>
      <w:r w:rsidR="0013597F">
        <w:rPr>
          <w:rFonts w:ascii="Tahoma" w:hAnsi="Tahoma" w:cs="Tahoma"/>
          <w:sz w:val="20"/>
          <w:szCs w:val="20"/>
        </w:rPr>
        <w:t>Gređani</w:t>
      </w:r>
      <w:r>
        <w:rPr>
          <w:rFonts w:ascii="Tahoma" w:hAnsi="Tahoma" w:cs="Tahoma"/>
          <w:sz w:val="20"/>
          <w:szCs w:val="20"/>
        </w:rPr>
        <w:t xml:space="preserve">, uz pridržavanje važećih propisa iz područja zaštite okoliša, </w:t>
      </w:r>
      <w:r w:rsidR="00D97C72">
        <w:rPr>
          <w:rFonts w:ascii="Tahoma" w:hAnsi="Tahoma" w:cs="Tahoma"/>
          <w:sz w:val="20"/>
          <w:szCs w:val="20"/>
        </w:rPr>
        <w:t xml:space="preserve">buke, </w:t>
      </w:r>
      <w:r>
        <w:rPr>
          <w:rFonts w:ascii="Tahoma" w:hAnsi="Tahoma" w:cs="Tahoma"/>
          <w:sz w:val="20"/>
          <w:szCs w:val="20"/>
        </w:rPr>
        <w:t xml:space="preserve">voda i održivog gospodarenja otpadom, može se isključiti mogućnost značajnih negativnih utjecaja  na ciljeve očuvanja i cjelovitost područja ekološke mreže, te se smatra  da je zahvat prihvatljiv, pa je stoga riješeno kao u izreci. </w:t>
      </w:r>
      <w:r w:rsidR="002A11BE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U skladu s navedenim,  za planirani predmetni zahvat nije potrebno provesti postupak Glavne ocjene</w:t>
      </w:r>
      <w:r w:rsidR="00D97C72">
        <w:rPr>
          <w:rFonts w:ascii="Tahoma" w:hAnsi="Tahoma" w:cs="Tahoma"/>
          <w:sz w:val="20"/>
          <w:szCs w:val="20"/>
        </w:rPr>
        <w:t xml:space="preserve"> prihvatljivosti</w:t>
      </w:r>
      <w:r>
        <w:rPr>
          <w:rFonts w:ascii="Tahoma" w:hAnsi="Tahoma" w:cs="Tahoma"/>
          <w:sz w:val="20"/>
          <w:szCs w:val="20"/>
        </w:rPr>
        <w:t xml:space="preserve"> za ekološku mrežu.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Točka 1. ovog Rješenja u skladu je s odredbom članka 30. stavak 4. Zakona o zaštiti prirode, kojom je propisano da, ako nadležno tijelo isključi mogućnost značajnih negativnih utjecaja na ciljeve očuvanja i cjelovitost područja ekološke mreže, donosi rješenje da je zahvat prihvatljiv za ekološku mrežu.  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Točka 2. ovog Rješenja u skladu je s odredbom članka 43. stavak 1. Zakona o zaštiti prirode, kojom je propisano da se rješenje iz članka 30. stavak 4. istog Zakona,  izdaje na rok od četiri  godine.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Točka 3. ovog Rješenja u skladu je s odredbom članka 44. stavak 3. Zakona o zaštiti prirode, kojom je propisano da nadležno tijelo objavljuje rješenje iz članka 30. stavak 4. istog Zakona,  na mrežnim stranicama, odnosno na mrežnim stranicama Brodsko-posavske županije (</w:t>
      </w:r>
      <w:hyperlink r:id="rId8" w:history="1">
        <w:r>
          <w:rPr>
            <w:rStyle w:val="Hiperveza"/>
            <w:rFonts w:ascii="Tahoma" w:hAnsi="Tahoma" w:cs="Tahoma"/>
            <w:sz w:val="20"/>
            <w:szCs w:val="20"/>
          </w:rPr>
          <w:t>www.bpz.hr</w:t>
        </w:r>
      </w:hyperlink>
      <w:r>
        <w:rPr>
          <w:rFonts w:ascii="Tahoma" w:hAnsi="Tahoma" w:cs="Tahoma"/>
          <w:sz w:val="20"/>
          <w:szCs w:val="20"/>
        </w:rPr>
        <w:t>).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Člankom 27.  stavak 2. Zakona o zaštiti prirode, propisano je da se ocjena prihvatljivosti  zahvata, provodi u okviru pripreme namjeravanog zahvata, prije izdavanja lokacijske dozvole ili izdavanja drugog potrebnog odobrenja za provedbu zahvata.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Člankom 29.  stavak 2. Zakona o zaštiti prirode, propisano je da upravno tijelo provodi prethodnu ocjenu za zahvate za koje tijelo područne (regionalne) samouprave nadležno za poslove zaštite okoliša,  provodi </w:t>
      </w:r>
    </w:p>
    <w:p w:rsidR="00590E42" w:rsidRPr="0013597F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postupak procjene utjecaja na okoliš ili postupak ocjene o potrebi  procjene utjecaja  na  okoliš  prema</w:t>
      </w:r>
      <w:r>
        <w:rPr>
          <w:rFonts w:ascii="Tahoma" w:hAnsi="Tahoma" w:cs="Tahoma"/>
          <w:color w:val="7F7F7F" w:themeColor="text1" w:themeTint="80"/>
          <w:sz w:val="18"/>
          <w:szCs w:val="18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Tahoma" w:hAnsi="Tahoma" w:cs="Tahoma"/>
          <w:sz w:val="20"/>
          <w:szCs w:val="20"/>
        </w:rPr>
        <w:t>posebnom propisu iz područja zaštite okoliša, zatim za zahvate koji mogu imati značajan negativan utjecaj na ciljeve očuvanja i cjelovitost područja ekološke mreže, osim za zahvate iz stavka 1. istog članka.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Člankom 30. stavak 6. Zakona o zaštiti prirode, propisano je da rješenje iz stavaka 4. i 5. ovog članka sadrži podatke o zahvatu, podatke o ekološkoj mreži i obrazloženje razloga na temelju kojih je isključena mogućnost značajnih negativnih utjecaja zahvata na ciljeve očuvanja i cjelovitost područja ekološke mreže ili obrazloženje razloga  na temelju kojih je utvrđena obveza provedbe Glavne ocjene.</w:t>
      </w:r>
    </w:p>
    <w:p w:rsidR="00590E42" w:rsidRDefault="0093665C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                          2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 xml:space="preserve">U skladu sa odredbama stavaka 1. i 2. članka 44.  Zakona o zaštiti prirode, ovo Rješenje se dostavlja Ministarstvu </w:t>
      </w:r>
      <w:r w:rsidR="0013597F">
        <w:rPr>
          <w:rFonts w:ascii="Tahoma" w:hAnsi="Tahoma" w:cs="Tahoma"/>
          <w:sz w:val="20"/>
          <w:szCs w:val="20"/>
        </w:rPr>
        <w:t>zaštite okoliša i zelene tranzicije</w:t>
      </w:r>
      <w:r>
        <w:rPr>
          <w:rFonts w:ascii="Tahoma" w:hAnsi="Tahoma" w:cs="Tahoma"/>
          <w:sz w:val="20"/>
          <w:szCs w:val="20"/>
        </w:rPr>
        <w:t xml:space="preserve"> i </w:t>
      </w:r>
      <w:r w:rsidR="004F7E67">
        <w:rPr>
          <w:rFonts w:ascii="Tahoma" w:hAnsi="Tahoma" w:cs="Tahoma"/>
          <w:sz w:val="20"/>
          <w:szCs w:val="20"/>
        </w:rPr>
        <w:t>i</w:t>
      </w:r>
      <w:r>
        <w:rPr>
          <w:rFonts w:ascii="Tahoma" w:hAnsi="Tahoma" w:cs="Tahoma"/>
          <w:sz w:val="20"/>
          <w:szCs w:val="20"/>
        </w:rPr>
        <w:t xml:space="preserve">nspekciji zaštite prirode. </w:t>
      </w:r>
    </w:p>
    <w:p w:rsidR="00590E42" w:rsidRDefault="0093665C" w:rsidP="00590E42">
      <w:pPr>
        <w:pStyle w:val="Bezproreda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</w:p>
    <w:p w:rsidR="00590E42" w:rsidRDefault="0093665C" w:rsidP="00590E42">
      <w:pPr>
        <w:pStyle w:val="Bezproreda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</w:p>
    <w:p w:rsidR="0013597F" w:rsidRDefault="0013597F" w:rsidP="00590E42">
      <w:pPr>
        <w:pStyle w:val="Bezproreda"/>
        <w:jc w:val="both"/>
        <w:rPr>
          <w:rFonts w:ascii="Tahoma" w:hAnsi="Tahoma" w:cs="Tahoma"/>
          <w:b/>
          <w:sz w:val="20"/>
          <w:szCs w:val="20"/>
          <w:u w:val="single"/>
        </w:rPr>
      </w:pPr>
    </w:p>
    <w:p w:rsidR="00590E42" w:rsidRDefault="00590E42" w:rsidP="00590E42">
      <w:pPr>
        <w:pStyle w:val="Bezproreda"/>
        <w:jc w:val="both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t>Uputa o pravnom lijeku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Protiv ovog Rješenja može se izjaviti žalba Ministarstvu </w:t>
      </w:r>
      <w:r w:rsidR="0013597F">
        <w:rPr>
          <w:rFonts w:ascii="Tahoma" w:hAnsi="Tahoma" w:cs="Tahoma"/>
          <w:sz w:val="20"/>
          <w:szCs w:val="20"/>
        </w:rPr>
        <w:t>zaštite okoliša i zelene tranzicije</w:t>
      </w:r>
      <w:r>
        <w:rPr>
          <w:rFonts w:ascii="Tahoma" w:hAnsi="Tahoma" w:cs="Tahoma"/>
          <w:sz w:val="20"/>
          <w:szCs w:val="20"/>
        </w:rPr>
        <w:t>, Zagreb, Radnička cesta 80, u roku od 15 dana od dana primitka Rješenja.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Žalba se predaje Upravnom odjelu za graditeljstvo, infrastrukturu i zaštitu okoliša Brodsko-posavske županije, neposredno u pisanom obliku, usmeno u zapisnik, ili se šalje poštom, odnosno dostavlja elektronički. 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590E42" w:rsidRPr="00F2771C" w:rsidRDefault="00590E42" w:rsidP="00590E42">
      <w:pPr>
        <w:pStyle w:val="Bezproreda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                                                                          Viša savjetnica za zaštitu prirode i okoliša</w:t>
      </w:r>
      <w:r>
        <w:rPr>
          <w:rFonts w:ascii="Tahoma" w:hAnsi="Tahoma" w:cs="Tahoma"/>
          <w:sz w:val="20"/>
          <w:szCs w:val="20"/>
        </w:rPr>
        <w:t xml:space="preserve">  </w:t>
      </w:r>
    </w:p>
    <w:p w:rsidR="00590E42" w:rsidRDefault="00590E42" w:rsidP="00590E42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Ljiljana Curić, dipl.ing.</w:t>
      </w:r>
    </w:p>
    <w:p w:rsidR="00590E42" w:rsidRDefault="00590E42" w:rsidP="00590E42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590E42" w:rsidRDefault="00590E42" w:rsidP="00590E42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590E42" w:rsidRDefault="00590E42" w:rsidP="00590E42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590E42" w:rsidRDefault="00590E42" w:rsidP="00590E42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590E42" w:rsidRDefault="00590E42" w:rsidP="00590E42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590E42" w:rsidRDefault="00590E42" w:rsidP="00590E42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590E42" w:rsidRDefault="00590E42" w:rsidP="00590E42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590E42" w:rsidRDefault="00590E42" w:rsidP="00590E42">
      <w:pPr>
        <w:pStyle w:val="Bezproreda"/>
        <w:jc w:val="both"/>
        <w:rPr>
          <w:rFonts w:ascii="Tahoma" w:hAnsi="Tahoma" w:cs="Tahoma"/>
          <w:b/>
          <w:i/>
          <w:sz w:val="18"/>
          <w:szCs w:val="18"/>
          <w:u w:val="single"/>
        </w:rPr>
      </w:pPr>
      <w:r>
        <w:rPr>
          <w:rFonts w:ascii="Tahoma" w:hAnsi="Tahoma" w:cs="Tahoma"/>
          <w:b/>
          <w:i/>
          <w:sz w:val="18"/>
          <w:szCs w:val="18"/>
          <w:u w:val="single"/>
        </w:rPr>
        <w:t>Dostaviti:</w:t>
      </w:r>
    </w:p>
    <w:p w:rsidR="00590E42" w:rsidRPr="0013597F" w:rsidRDefault="0013597F" w:rsidP="0013597F">
      <w:pPr>
        <w:pStyle w:val="Bezproreda"/>
        <w:numPr>
          <w:ilvl w:val="0"/>
          <w:numId w:val="2"/>
        </w:numPr>
        <w:jc w:val="both"/>
        <w:rPr>
          <w:rFonts w:ascii="Tahoma" w:hAnsi="Tahoma" w:cs="Tahoma"/>
          <w:bCs/>
          <w:iCs/>
          <w:sz w:val="18"/>
          <w:szCs w:val="18"/>
        </w:rPr>
      </w:pPr>
      <w:r>
        <w:rPr>
          <w:rFonts w:ascii="Tahoma" w:hAnsi="Tahoma" w:cs="Tahoma"/>
          <w:bCs/>
          <w:iCs/>
          <w:sz w:val="18"/>
          <w:szCs w:val="18"/>
        </w:rPr>
        <w:t>Odašiljači i veze d.o.o., Ulica grada Vukovara 269d, 10000 Zagreb</w:t>
      </w:r>
    </w:p>
    <w:p w:rsidR="00590E42" w:rsidRDefault="00590E42" w:rsidP="00590E42">
      <w:pPr>
        <w:pStyle w:val="Bezproreda"/>
        <w:numPr>
          <w:ilvl w:val="0"/>
          <w:numId w:val="2"/>
        </w:numPr>
        <w:jc w:val="both"/>
        <w:rPr>
          <w:rFonts w:ascii="Tahoma" w:hAnsi="Tahoma" w:cs="Tahoma"/>
          <w:bCs/>
          <w:i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Ministarstvo </w:t>
      </w:r>
      <w:r w:rsidR="0013597F">
        <w:rPr>
          <w:rFonts w:ascii="Tahoma" w:hAnsi="Tahoma" w:cs="Tahoma"/>
          <w:bCs/>
          <w:sz w:val="18"/>
          <w:szCs w:val="18"/>
        </w:rPr>
        <w:t>zaštite okoliša i zelene tranzicije</w:t>
      </w:r>
      <w:r>
        <w:rPr>
          <w:rFonts w:ascii="Tahoma" w:hAnsi="Tahoma" w:cs="Tahoma"/>
          <w:bCs/>
          <w:sz w:val="18"/>
          <w:szCs w:val="18"/>
        </w:rPr>
        <w:t xml:space="preserve">, putem: </w:t>
      </w:r>
      <w:hyperlink r:id="rId9" w:history="1">
        <w:r>
          <w:rPr>
            <w:rStyle w:val="Hiperveza"/>
            <w:rFonts w:ascii="Tahoma" w:hAnsi="Tahoma" w:cs="Tahoma"/>
            <w:bCs/>
            <w:sz w:val="18"/>
            <w:szCs w:val="18"/>
          </w:rPr>
          <w:t>pisarnica@mingor.hr</w:t>
        </w:r>
      </w:hyperlink>
      <w:r>
        <w:rPr>
          <w:rFonts w:ascii="Tahoma" w:hAnsi="Tahoma" w:cs="Tahoma"/>
          <w:bCs/>
          <w:sz w:val="18"/>
          <w:szCs w:val="18"/>
        </w:rPr>
        <w:t xml:space="preserve">; </w:t>
      </w:r>
      <w:hyperlink r:id="rId10" w:history="1">
        <w:r>
          <w:rPr>
            <w:rStyle w:val="Hiperveza"/>
            <w:rFonts w:ascii="Tahoma" w:hAnsi="Tahoma" w:cs="Tahoma"/>
            <w:bCs/>
            <w:sz w:val="18"/>
            <w:szCs w:val="18"/>
          </w:rPr>
          <w:t>marija.petras@mingor.hr</w:t>
        </w:r>
      </w:hyperlink>
      <w:r>
        <w:rPr>
          <w:rFonts w:ascii="Tahoma" w:hAnsi="Tahoma" w:cs="Tahoma"/>
          <w:bCs/>
          <w:sz w:val="18"/>
          <w:szCs w:val="18"/>
        </w:rPr>
        <w:t xml:space="preserve"> </w:t>
      </w:r>
    </w:p>
    <w:p w:rsidR="00590E42" w:rsidRDefault="00590E42" w:rsidP="00590E42">
      <w:pPr>
        <w:pStyle w:val="Bezproreda"/>
        <w:numPr>
          <w:ilvl w:val="0"/>
          <w:numId w:val="2"/>
        </w:numPr>
        <w:jc w:val="both"/>
        <w:rPr>
          <w:rFonts w:ascii="Tahoma" w:hAnsi="Tahoma" w:cs="Tahoma"/>
          <w:bCs/>
          <w:i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Državni inspektorat, Sektor zaštite prirode, Šubićeva 29,  10000 Zagreb</w:t>
      </w:r>
    </w:p>
    <w:p w:rsidR="00590E42" w:rsidRDefault="00590E42" w:rsidP="00590E42">
      <w:pPr>
        <w:pStyle w:val="Bezproreda"/>
        <w:numPr>
          <w:ilvl w:val="0"/>
          <w:numId w:val="2"/>
        </w:numPr>
        <w:jc w:val="both"/>
        <w:rPr>
          <w:rFonts w:ascii="Tahoma" w:hAnsi="Tahoma" w:cs="Tahoma"/>
          <w:bCs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- u spis predmeta</w:t>
      </w:r>
      <w:bookmarkEnd w:id="0"/>
    </w:p>
    <w:p w:rsidR="00590E42" w:rsidRDefault="00590E42" w:rsidP="00590E42">
      <w:pPr>
        <w:rPr>
          <w:rFonts w:ascii="Tahoma" w:hAnsi="Tahoma" w:cs="Tahoma"/>
        </w:rPr>
      </w:pPr>
    </w:p>
    <w:p w:rsidR="00590E42" w:rsidRDefault="00590E42" w:rsidP="00590E42"/>
    <w:p w:rsidR="00590E42" w:rsidRDefault="00590E42" w:rsidP="00590E42"/>
    <w:p w:rsidR="007145CA" w:rsidRDefault="007145CA"/>
    <w:p w:rsidR="0093665C" w:rsidRDefault="0093665C"/>
    <w:p w:rsidR="0093665C" w:rsidRDefault="0093665C"/>
    <w:p w:rsidR="0093665C" w:rsidRDefault="0093665C"/>
    <w:p w:rsidR="0093665C" w:rsidRDefault="0093665C"/>
    <w:p w:rsidR="0093665C" w:rsidRDefault="0093665C"/>
    <w:p w:rsidR="0093665C" w:rsidRDefault="0093665C"/>
    <w:p w:rsidR="0093665C" w:rsidRDefault="0093665C"/>
    <w:p w:rsidR="0093665C" w:rsidRDefault="0093665C"/>
    <w:p w:rsidR="0093665C" w:rsidRDefault="0093665C"/>
    <w:p w:rsidR="0093665C" w:rsidRDefault="0093665C"/>
    <w:p w:rsidR="0093665C" w:rsidRDefault="0093665C"/>
    <w:p w:rsidR="0093665C" w:rsidRDefault="0093665C">
      <w:pPr>
        <w:rPr>
          <w:rFonts w:ascii="Tahoma" w:hAnsi="Tahoma" w:cs="Tahoma"/>
          <w:sz w:val="20"/>
          <w:szCs w:val="20"/>
        </w:rPr>
      </w:pPr>
      <w:r w:rsidRPr="0093665C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                                                </w:t>
      </w:r>
    </w:p>
    <w:p w:rsidR="0093665C" w:rsidRPr="0093665C" w:rsidRDefault="0093665C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Pr="0093665C">
        <w:rPr>
          <w:rFonts w:ascii="Tahoma" w:hAnsi="Tahoma" w:cs="Tahoma"/>
          <w:sz w:val="20"/>
          <w:szCs w:val="20"/>
        </w:rPr>
        <w:t>3</w:t>
      </w:r>
    </w:p>
    <w:sectPr w:rsidR="0093665C" w:rsidRPr="0093665C" w:rsidSect="00590E42">
      <w:footerReference w:type="defaul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411A4" w:rsidRDefault="004411A4" w:rsidP="0013597F">
      <w:pPr>
        <w:spacing w:after="0" w:line="240" w:lineRule="auto"/>
      </w:pPr>
      <w:r>
        <w:separator/>
      </w:r>
    </w:p>
  </w:endnote>
  <w:endnote w:type="continuationSeparator" w:id="0">
    <w:p w:rsidR="004411A4" w:rsidRDefault="004411A4" w:rsidP="00135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3665C" w:rsidRDefault="0093665C" w:rsidP="0093665C">
    <w:pPr>
      <w:pStyle w:val="Podnoje"/>
      <w:rPr>
        <w:b/>
        <w:bCs/>
        <w:color w:val="767171" w:themeColor="background2" w:themeShade="80"/>
        <w:sz w:val="16"/>
        <w:szCs w:val="16"/>
      </w:rPr>
    </w:pPr>
    <w:r>
      <w:rPr>
        <w:b/>
        <w:bCs/>
        <w:color w:val="767171" w:themeColor="background2" w:themeShade="80"/>
        <w:sz w:val="16"/>
        <w:szCs w:val="16"/>
      </w:rPr>
      <w:t>____</w:t>
    </w:r>
    <w:r w:rsidRPr="00FD6B65">
      <w:rPr>
        <w:b/>
        <w:bCs/>
        <w:color w:val="767171" w:themeColor="background2" w:themeShade="80"/>
        <w:sz w:val="16"/>
        <w:szCs w:val="16"/>
      </w:rPr>
      <w:t>___________________________________________________________________________________________________________</w:t>
    </w:r>
  </w:p>
  <w:p w:rsidR="0093665C" w:rsidRPr="00FD6B65" w:rsidRDefault="0093665C" w:rsidP="0093665C">
    <w:pPr>
      <w:pStyle w:val="Podnoje"/>
      <w:rPr>
        <w:b/>
        <w:bCs/>
        <w:color w:val="767171" w:themeColor="background2" w:themeShade="80"/>
        <w:sz w:val="16"/>
        <w:szCs w:val="16"/>
      </w:rPr>
    </w:pPr>
    <w:r w:rsidRPr="00FD6B65">
      <w:rPr>
        <w:b/>
        <w:bCs/>
        <w:color w:val="767171" w:themeColor="background2" w:themeShade="80"/>
        <w:sz w:val="16"/>
        <w:szCs w:val="16"/>
      </w:rPr>
      <w:t>KLASA: UP/I-3</w:t>
    </w:r>
    <w:r>
      <w:rPr>
        <w:b/>
        <w:bCs/>
        <w:color w:val="767171" w:themeColor="background2" w:themeShade="80"/>
        <w:sz w:val="16"/>
        <w:szCs w:val="16"/>
      </w:rPr>
      <w:t>52-</w:t>
    </w:r>
    <w:r w:rsidRPr="00FD6B65">
      <w:rPr>
        <w:b/>
        <w:bCs/>
        <w:color w:val="767171" w:themeColor="background2" w:themeShade="80"/>
        <w:sz w:val="16"/>
        <w:szCs w:val="16"/>
      </w:rPr>
      <w:t>02/24-01/</w:t>
    </w:r>
    <w:r>
      <w:rPr>
        <w:b/>
        <w:bCs/>
        <w:color w:val="767171" w:themeColor="background2" w:themeShade="80"/>
        <w:sz w:val="16"/>
        <w:szCs w:val="16"/>
      </w:rPr>
      <w:t>10</w:t>
    </w:r>
    <w:r w:rsidRPr="00FD6B65">
      <w:rPr>
        <w:b/>
        <w:bCs/>
        <w:color w:val="767171" w:themeColor="background2" w:themeShade="80"/>
        <w:sz w:val="16"/>
        <w:szCs w:val="16"/>
      </w:rPr>
      <w:t>, URBROJ: 2178-03-02/0</w:t>
    </w:r>
    <w:r>
      <w:rPr>
        <w:b/>
        <w:bCs/>
        <w:color w:val="767171" w:themeColor="background2" w:themeShade="80"/>
        <w:sz w:val="16"/>
        <w:szCs w:val="16"/>
      </w:rPr>
      <w:t>5</w:t>
    </w:r>
    <w:r w:rsidRPr="00FD6B65">
      <w:rPr>
        <w:b/>
        <w:bCs/>
        <w:color w:val="767171" w:themeColor="background2" w:themeShade="80"/>
        <w:sz w:val="16"/>
        <w:szCs w:val="16"/>
      </w:rPr>
      <w:t>-24-</w:t>
    </w:r>
    <w:r>
      <w:rPr>
        <w:b/>
        <w:bCs/>
        <w:color w:val="767171" w:themeColor="background2" w:themeShade="80"/>
        <w:sz w:val="16"/>
        <w:szCs w:val="16"/>
      </w:rPr>
      <w:t>4</w:t>
    </w:r>
  </w:p>
  <w:p w:rsidR="0093665C" w:rsidRDefault="0093665C" w:rsidP="0093665C">
    <w:pPr>
      <w:pStyle w:val="Podnoje"/>
      <w:rPr>
        <w:sz w:val="16"/>
        <w:szCs w:val="16"/>
      </w:rPr>
    </w:pPr>
    <w:r w:rsidRPr="00FD6B65">
      <w:rPr>
        <w:color w:val="767171" w:themeColor="background2" w:themeShade="80"/>
        <w:sz w:val="16"/>
        <w:szCs w:val="16"/>
      </w:rPr>
      <w:t>Ova isprava potpisana je kvalificiranim elektroničkim potpisom, a isti je vidljiv na posljednjoj nenumeriranoj stranici</w:t>
    </w:r>
    <w:r>
      <w:rPr>
        <w:sz w:val="16"/>
        <w:szCs w:val="16"/>
      </w:rPr>
      <w:t xml:space="preserve">.                                                          </w:t>
    </w:r>
  </w:p>
  <w:p w:rsidR="0093665C" w:rsidRDefault="0093665C">
    <w:pPr>
      <w:pStyle w:val="Podnoje"/>
    </w:pPr>
  </w:p>
  <w:p w:rsidR="0013597F" w:rsidRDefault="0013597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411A4" w:rsidRDefault="004411A4" w:rsidP="0013597F">
      <w:pPr>
        <w:spacing w:after="0" w:line="240" w:lineRule="auto"/>
      </w:pPr>
      <w:r>
        <w:separator/>
      </w:r>
    </w:p>
  </w:footnote>
  <w:footnote w:type="continuationSeparator" w:id="0">
    <w:p w:rsidR="004411A4" w:rsidRDefault="004411A4" w:rsidP="00135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581D53"/>
    <w:multiLevelType w:val="hybridMultilevel"/>
    <w:tmpl w:val="5EDA68A0"/>
    <w:lvl w:ilvl="0" w:tplc="25E66B06">
      <w:start w:val="1"/>
      <w:numFmt w:val="decimal"/>
      <w:lvlText w:val="%1."/>
      <w:lvlJc w:val="left"/>
      <w:pPr>
        <w:ind w:left="780" w:hanging="42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480290"/>
    <w:multiLevelType w:val="hybridMultilevel"/>
    <w:tmpl w:val="3A6CBD2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2222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39546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E42"/>
    <w:rsid w:val="00080B0A"/>
    <w:rsid w:val="0013597F"/>
    <w:rsid w:val="002300DB"/>
    <w:rsid w:val="002436F6"/>
    <w:rsid w:val="002446F8"/>
    <w:rsid w:val="002A11BE"/>
    <w:rsid w:val="002D152E"/>
    <w:rsid w:val="0030132B"/>
    <w:rsid w:val="0043015C"/>
    <w:rsid w:val="004411A4"/>
    <w:rsid w:val="004F7E67"/>
    <w:rsid w:val="005168D3"/>
    <w:rsid w:val="00590E42"/>
    <w:rsid w:val="0071306A"/>
    <w:rsid w:val="007145CA"/>
    <w:rsid w:val="0093665C"/>
    <w:rsid w:val="009C5A95"/>
    <w:rsid w:val="00A70F00"/>
    <w:rsid w:val="00A856F9"/>
    <w:rsid w:val="00AB06F9"/>
    <w:rsid w:val="00B36F65"/>
    <w:rsid w:val="00D16442"/>
    <w:rsid w:val="00D97C72"/>
    <w:rsid w:val="00EC2565"/>
    <w:rsid w:val="00FA14C2"/>
    <w:rsid w:val="00FF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77997"/>
  <w15:chartTrackingRefBased/>
  <w15:docId w15:val="{50FF1BBF-A8D2-453A-9C1D-C2039737F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0E42"/>
    <w:pPr>
      <w:spacing w:line="252" w:lineRule="auto"/>
    </w:pPr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590E42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590E42"/>
    <w:pPr>
      <w:spacing w:after="0" w:line="240" w:lineRule="auto"/>
    </w:pPr>
    <w:rPr>
      <w:rFonts w:ascii="Calibri" w:eastAsia="Times New Roman" w:hAnsi="Calibri" w:cs="Times New Roman"/>
      <w:kern w:val="0"/>
      <w:lang w:eastAsia="hr-HR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135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3597F"/>
    <w:rPr>
      <w:kern w:val="0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135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3597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marija.petras@mingor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isarnica@mingor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3</Pages>
  <Words>1509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Curić</dc:creator>
  <cp:keywords/>
  <dc:description/>
  <cp:lastModifiedBy>Ljiljana Curić</cp:lastModifiedBy>
  <cp:revision>6</cp:revision>
  <dcterms:created xsi:type="dcterms:W3CDTF">2024-09-19T07:27:00Z</dcterms:created>
  <dcterms:modified xsi:type="dcterms:W3CDTF">2024-09-25T07:05:00Z</dcterms:modified>
</cp:coreProperties>
</file>