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3764D" w:rsidRDefault="00F3764D" w:rsidP="00F3764D">
      <w:pPr>
        <w:pStyle w:val="Bezproreda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</w:t>
      </w:r>
      <w:bookmarkStart w:id="0" w:name="_Hlk175731690"/>
      <w:bookmarkStart w:id="1" w:name="_Hlk175141826"/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155D6CC2" wp14:editId="3C221103">
            <wp:extent cx="584344" cy="620973"/>
            <wp:effectExtent l="19050" t="0" r="6206" b="0"/>
            <wp:docPr id="398700707" name="Slika 398700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64" cy="621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</w:rPr>
        <w:t xml:space="preserve">  </w:t>
      </w:r>
    </w:p>
    <w:p w:rsidR="00F3764D" w:rsidRPr="00E926C3" w:rsidRDefault="00F3764D" w:rsidP="00F3764D">
      <w:pPr>
        <w:pStyle w:val="Bezproreda"/>
        <w:rPr>
          <w:rFonts w:ascii="Tahoma" w:hAnsi="Tahoma" w:cs="Tahoma"/>
          <w:b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         </w:t>
      </w:r>
      <w:r w:rsidRPr="00E926C3">
        <w:rPr>
          <w:rFonts w:ascii="Tahoma" w:hAnsi="Tahoma" w:cs="Tahoma"/>
          <w:b/>
          <w:sz w:val="20"/>
          <w:szCs w:val="20"/>
          <w:lang w:val="de-DE"/>
        </w:rPr>
        <w:t>REPUBLIKA HRVATSKA</w:t>
      </w:r>
    </w:p>
    <w:p w:rsidR="00F3764D" w:rsidRPr="00E926C3" w:rsidRDefault="00F3764D" w:rsidP="00F3764D">
      <w:pPr>
        <w:pStyle w:val="Bezproreda"/>
        <w:rPr>
          <w:rFonts w:ascii="Tahoma" w:hAnsi="Tahoma" w:cs="Tahoma"/>
          <w:b/>
          <w:sz w:val="20"/>
          <w:szCs w:val="20"/>
        </w:rPr>
      </w:pPr>
      <w:r w:rsidRPr="00E926C3">
        <w:rPr>
          <w:rFonts w:ascii="Tahoma" w:hAnsi="Tahoma" w:cs="Tahoma"/>
          <w:b/>
          <w:sz w:val="20"/>
          <w:szCs w:val="20"/>
        </w:rPr>
        <w:t xml:space="preserve">  BRODSKO-POSAVSKA ŽUPANIJA </w:t>
      </w:r>
    </w:p>
    <w:p w:rsidR="00F3764D" w:rsidRPr="00E926C3" w:rsidRDefault="00F3764D" w:rsidP="00F3764D">
      <w:pPr>
        <w:pStyle w:val="Bezproreda"/>
        <w:rPr>
          <w:rFonts w:ascii="Tahoma" w:hAnsi="Tahoma" w:cs="Tahoma"/>
          <w:b/>
          <w:sz w:val="20"/>
          <w:szCs w:val="20"/>
        </w:rPr>
      </w:pPr>
      <w:r w:rsidRPr="00E926C3">
        <w:rPr>
          <w:rFonts w:ascii="Tahoma" w:hAnsi="Tahoma" w:cs="Tahoma"/>
          <w:b/>
          <w:sz w:val="20"/>
          <w:szCs w:val="20"/>
          <w:lang w:val="de-DE"/>
        </w:rPr>
        <w:t>UPRAVNI ODJEL ZA GRADITELJSTVO,</w:t>
      </w:r>
    </w:p>
    <w:p w:rsidR="00F3764D" w:rsidRPr="00E926C3" w:rsidRDefault="00F3764D" w:rsidP="00F3764D">
      <w:pPr>
        <w:pStyle w:val="Bezproreda"/>
        <w:rPr>
          <w:rFonts w:ascii="Tahoma" w:hAnsi="Tahoma" w:cs="Tahoma"/>
          <w:b/>
          <w:sz w:val="20"/>
          <w:szCs w:val="20"/>
        </w:rPr>
      </w:pPr>
      <w:r w:rsidRPr="00E926C3">
        <w:rPr>
          <w:rFonts w:ascii="Tahoma" w:hAnsi="Tahoma" w:cs="Tahoma"/>
          <w:b/>
          <w:sz w:val="20"/>
          <w:szCs w:val="20"/>
          <w:lang w:val="de-DE"/>
        </w:rPr>
        <w:t>INFRASTRUKTURU</w:t>
      </w:r>
      <w:r w:rsidRPr="00E926C3">
        <w:rPr>
          <w:rFonts w:ascii="Tahoma" w:hAnsi="Tahoma" w:cs="Tahoma"/>
          <w:b/>
          <w:sz w:val="20"/>
          <w:szCs w:val="20"/>
        </w:rPr>
        <w:t xml:space="preserve"> I </w:t>
      </w:r>
      <w:proofErr w:type="gramStart"/>
      <w:r w:rsidRPr="00E926C3">
        <w:rPr>
          <w:rFonts w:ascii="Tahoma" w:hAnsi="Tahoma" w:cs="Tahoma"/>
          <w:b/>
          <w:sz w:val="20"/>
          <w:szCs w:val="20"/>
        </w:rPr>
        <w:t>ZAŠTITU  OKOLIŠA</w:t>
      </w:r>
      <w:proofErr w:type="gramEnd"/>
      <w:r w:rsidRPr="00E926C3">
        <w:rPr>
          <w:rFonts w:ascii="Tahoma" w:hAnsi="Tahoma" w:cs="Tahoma"/>
          <w:b/>
          <w:sz w:val="20"/>
          <w:szCs w:val="20"/>
        </w:rPr>
        <w:t xml:space="preserve"> </w:t>
      </w:r>
    </w:p>
    <w:p w:rsidR="00F3764D" w:rsidRPr="00E926C3" w:rsidRDefault="00F3764D" w:rsidP="00F3764D">
      <w:pPr>
        <w:pStyle w:val="Bezproreda"/>
        <w:rPr>
          <w:rFonts w:ascii="Tahoma" w:hAnsi="Tahoma" w:cs="Tahoma"/>
          <w:b/>
          <w:sz w:val="20"/>
          <w:szCs w:val="20"/>
        </w:rPr>
      </w:pPr>
      <w:r w:rsidRPr="00E926C3">
        <w:rPr>
          <w:rFonts w:ascii="Tahoma" w:hAnsi="Tahoma" w:cs="Tahoma"/>
          <w:b/>
          <w:sz w:val="20"/>
          <w:szCs w:val="20"/>
        </w:rPr>
        <w:t>Odsjek za infrastrukturu, zaštitu okoliša i obnovu</w:t>
      </w:r>
    </w:p>
    <w:p w:rsidR="00F3764D" w:rsidRPr="00E926C3" w:rsidRDefault="00F3764D" w:rsidP="00F3764D">
      <w:pPr>
        <w:pStyle w:val="Bezproreda"/>
        <w:rPr>
          <w:rFonts w:ascii="Tahoma" w:hAnsi="Tahoma" w:cs="Tahoma"/>
          <w:i/>
          <w:sz w:val="20"/>
          <w:szCs w:val="20"/>
          <w:lang w:val="en-GB"/>
        </w:rPr>
      </w:pPr>
      <w:r w:rsidRPr="00E926C3">
        <w:rPr>
          <w:rFonts w:ascii="Tahoma" w:hAnsi="Tahoma" w:cs="Tahoma"/>
          <w:i/>
          <w:sz w:val="20"/>
          <w:szCs w:val="20"/>
          <w:lang w:val="en-GB"/>
        </w:rPr>
        <w:t>Petra Kre</w:t>
      </w:r>
      <w:r w:rsidRPr="00E926C3">
        <w:rPr>
          <w:rFonts w:ascii="Tahoma" w:hAnsi="Tahoma" w:cs="Tahoma"/>
          <w:i/>
          <w:sz w:val="20"/>
          <w:szCs w:val="20"/>
        </w:rPr>
        <w:t>š</w:t>
      </w:r>
      <w:proofErr w:type="spellStart"/>
      <w:r w:rsidRPr="00E926C3">
        <w:rPr>
          <w:rFonts w:ascii="Tahoma" w:hAnsi="Tahoma" w:cs="Tahoma"/>
          <w:i/>
          <w:sz w:val="20"/>
          <w:szCs w:val="20"/>
          <w:lang w:val="en-GB"/>
        </w:rPr>
        <w:t>imira</w:t>
      </w:r>
      <w:proofErr w:type="spellEnd"/>
      <w:r w:rsidRPr="00E926C3">
        <w:rPr>
          <w:rFonts w:ascii="Tahoma" w:hAnsi="Tahoma" w:cs="Tahoma"/>
          <w:i/>
          <w:sz w:val="20"/>
          <w:szCs w:val="20"/>
          <w:lang w:val="en-GB"/>
        </w:rPr>
        <w:t xml:space="preserve"> IV. </w:t>
      </w:r>
      <w:proofErr w:type="spellStart"/>
      <w:r w:rsidRPr="00E926C3">
        <w:rPr>
          <w:rFonts w:ascii="Tahoma" w:hAnsi="Tahoma" w:cs="Tahoma"/>
          <w:i/>
          <w:sz w:val="20"/>
          <w:szCs w:val="20"/>
          <w:lang w:val="en-GB"/>
        </w:rPr>
        <w:t>br</w:t>
      </w:r>
      <w:proofErr w:type="spellEnd"/>
      <w:r w:rsidRPr="00E926C3">
        <w:rPr>
          <w:rFonts w:ascii="Tahoma" w:hAnsi="Tahoma" w:cs="Tahoma"/>
          <w:i/>
          <w:sz w:val="20"/>
          <w:szCs w:val="20"/>
        </w:rPr>
        <w:t xml:space="preserve">. 1, 35 000 </w:t>
      </w:r>
      <w:proofErr w:type="spellStart"/>
      <w:r w:rsidRPr="00E926C3">
        <w:rPr>
          <w:rFonts w:ascii="Tahoma" w:hAnsi="Tahoma" w:cs="Tahoma"/>
          <w:i/>
          <w:sz w:val="20"/>
          <w:szCs w:val="20"/>
          <w:lang w:val="en-GB"/>
        </w:rPr>
        <w:t>Slavonski</w:t>
      </w:r>
      <w:proofErr w:type="spellEnd"/>
      <w:r w:rsidRPr="00E926C3">
        <w:rPr>
          <w:rFonts w:ascii="Tahoma" w:hAnsi="Tahoma" w:cs="Tahoma"/>
          <w:i/>
          <w:sz w:val="20"/>
          <w:szCs w:val="20"/>
          <w:lang w:val="en-GB"/>
        </w:rPr>
        <w:t xml:space="preserve"> Brod</w:t>
      </w:r>
    </w:p>
    <w:p w:rsidR="00AB4B7F" w:rsidRPr="004A2AD0" w:rsidRDefault="00AB4B7F" w:rsidP="00AB4B7F">
      <w:pPr>
        <w:spacing w:after="0" w:line="240" w:lineRule="auto"/>
        <w:rPr>
          <w:rFonts w:ascii="Calibri" w:hAnsi="Calibri" w:cs="Calibri"/>
          <w:kern w:val="0"/>
          <w:lang w:eastAsia="hr-HR"/>
          <w14:ligatures w14:val="none"/>
        </w:rPr>
      </w:pPr>
    </w:p>
    <w:p w:rsidR="00AB4B7F" w:rsidRDefault="00AB4B7F" w:rsidP="00AB4B7F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KLASA: UP/I 352-02/24-01/07</w:t>
      </w:r>
    </w:p>
    <w:p w:rsidR="00AB4B7F" w:rsidRDefault="00AB4B7F" w:rsidP="00AB4B7F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URBROJ: 2178-03-02/5-24-</w:t>
      </w:r>
      <w:r>
        <w:rPr>
          <w:rFonts w:ascii="Tahoma" w:hAnsi="Tahoma" w:cs="Tahoma"/>
          <w:sz w:val="20"/>
          <w:szCs w:val="20"/>
        </w:rPr>
        <w:t>9</w:t>
      </w:r>
    </w:p>
    <w:p w:rsidR="00AB4B7F" w:rsidRDefault="00AB4B7F" w:rsidP="00AB4B7F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Slavonski Brod,  30. listopada 2024. godine</w:t>
      </w:r>
      <w:r>
        <w:rPr>
          <w:rFonts w:ascii="Tahoma" w:hAnsi="Tahoma" w:cs="Tahoma"/>
          <w:b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</w:p>
    <w:bookmarkEnd w:id="0"/>
    <w:p w:rsidR="00F3764D" w:rsidRDefault="00F3764D" w:rsidP="00F3764D">
      <w:pPr>
        <w:pStyle w:val="Bezproreda"/>
        <w:jc w:val="both"/>
        <w:rPr>
          <w:rFonts w:ascii="Tahoma" w:hAnsi="Tahoma" w:cs="Tahoma"/>
          <w:sz w:val="18"/>
          <w:szCs w:val="18"/>
        </w:rPr>
      </w:pPr>
    </w:p>
    <w:p w:rsidR="00AB4B7F" w:rsidRDefault="00AB4B7F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AB4B7F" w:rsidRDefault="00AB4B7F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AE02C2">
        <w:rPr>
          <w:rFonts w:ascii="Tahoma" w:hAnsi="Tahoma" w:cs="Tahoma"/>
          <w:sz w:val="20"/>
          <w:szCs w:val="20"/>
        </w:rPr>
        <w:t xml:space="preserve">Upravni odjel za graditeljstvo, infrastrukturu i zaštitu okoliša Brodsko-posavske županije, na temelju članka 38.a Zakona o zaštiti prirode („Narodne novine“, br. 80/13, 15/18, 14/19, 127/19 i 155/23),  daje </w:t>
      </w:r>
      <w:r>
        <w:rPr>
          <w:rFonts w:ascii="Tahoma" w:hAnsi="Tahoma" w:cs="Tahoma"/>
          <w:sz w:val="20"/>
          <w:szCs w:val="20"/>
        </w:rPr>
        <w:t>sljedeću</w:t>
      </w:r>
    </w:p>
    <w:p w:rsidR="00F3764D" w:rsidRPr="00AE02C2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3764D" w:rsidRPr="00AB4B7F" w:rsidRDefault="00F3764D" w:rsidP="00F3764D">
      <w:pPr>
        <w:pStyle w:val="Bezproreda"/>
        <w:jc w:val="center"/>
        <w:rPr>
          <w:rFonts w:ascii="Tahoma" w:hAnsi="Tahoma" w:cs="Tahoma"/>
          <w:b/>
          <w:sz w:val="28"/>
          <w:szCs w:val="28"/>
        </w:rPr>
      </w:pPr>
      <w:r w:rsidRPr="00AB4B7F">
        <w:rPr>
          <w:rFonts w:ascii="Tahoma" w:hAnsi="Tahoma" w:cs="Tahoma"/>
          <w:b/>
          <w:sz w:val="28"/>
          <w:szCs w:val="28"/>
        </w:rPr>
        <w:t>OBAVIJEST</w:t>
      </w:r>
    </w:p>
    <w:p w:rsidR="00AB4B7F" w:rsidRPr="00AE02C2" w:rsidRDefault="00AB4B7F" w:rsidP="00F3764D">
      <w:pPr>
        <w:pStyle w:val="Bezproreda"/>
        <w:jc w:val="center"/>
        <w:rPr>
          <w:rFonts w:ascii="Tahoma" w:hAnsi="Tahoma" w:cs="Tahoma"/>
          <w:b/>
          <w:sz w:val="20"/>
          <w:szCs w:val="20"/>
        </w:rPr>
      </w:pPr>
    </w:p>
    <w:p w:rsidR="00AB4B7F" w:rsidRDefault="00F3764D" w:rsidP="00F3764D">
      <w:pPr>
        <w:pStyle w:val="Bezproreda"/>
        <w:jc w:val="center"/>
        <w:rPr>
          <w:rFonts w:ascii="Tahoma" w:hAnsi="Tahoma" w:cs="Tahoma"/>
          <w:b/>
          <w:sz w:val="20"/>
          <w:szCs w:val="20"/>
        </w:rPr>
      </w:pPr>
      <w:r w:rsidRPr="00AE02C2">
        <w:rPr>
          <w:rFonts w:ascii="Tahoma" w:hAnsi="Tahoma" w:cs="Tahoma"/>
          <w:b/>
          <w:sz w:val="20"/>
          <w:szCs w:val="20"/>
        </w:rPr>
        <w:t xml:space="preserve">o provođenju javne rasprave u postupku Glavne ocjene prihvatljivosti </w:t>
      </w:r>
    </w:p>
    <w:p w:rsidR="00F3764D" w:rsidRDefault="00F3764D" w:rsidP="00F3764D">
      <w:pPr>
        <w:pStyle w:val="Bezproreda"/>
        <w:jc w:val="center"/>
        <w:rPr>
          <w:rFonts w:ascii="Tahoma" w:hAnsi="Tahoma" w:cs="Tahoma"/>
          <w:b/>
          <w:bCs/>
          <w:sz w:val="20"/>
          <w:szCs w:val="20"/>
        </w:rPr>
      </w:pPr>
      <w:r w:rsidRPr="00AE02C2">
        <w:rPr>
          <w:rFonts w:ascii="Tahoma" w:hAnsi="Tahoma" w:cs="Tahoma"/>
          <w:b/>
          <w:sz w:val="20"/>
          <w:szCs w:val="20"/>
        </w:rPr>
        <w:t>za ekološku mrežu zahvata: Izgradnja pristaništa Davor na području Općine Davor,</w:t>
      </w:r>
      <w:r w:rsidRPr="00AE02C2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F3764D" w:rsidRDefault="00F3764D" w:rsidP="00F3764D">
      <w:pPr>
        <w:pStyle w:val="Bezproreda"/>
        <w:jc w:val="center"/>
        <w:rPr>
          <w:rFonts w:ascii="Tahoma" w:hAnsi="Tahoma" w:cs="Tahoma"/>
          <w:b/>
          <w:bCs/>
          <w:sz w:val="20"/>
          <w:szCs w:val="20"/>
        </w:rPr>
      </w:pPr>
      <w:r w:rsidRPr="00AE02C2">
        <w:rPr>
          <w:rFonts w:ascii="Tahoma" w:hAnsi="Tahoma" w:cs="Tahoma"/>
          <w:b/>
          <w:bCs/>
          <w:sz w:val="20"/>
          <w:szCs w:val="20"/>
        </w:rPr>
        <w:t>Brodsko-posavska županija</w:t>
      </w:r>
    </w:p>
    <w:p w:rsidR="00F3764D" w:rsidRDefault="00F3764D" w:rsidP="00F3764D">
      <w:pPr>
        <w:pStyle w:val="Bezproreda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F3764D" w:rsidRPr="00F3764D" w:rsidRDefault="00F3764D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  <w:r w:rsidRPr="00F3764D">
        <w:rPr>
          <w:rFonts w:ascii="Tahoma" w:hAnsi="Tahoma" w:cs="Tahoma"/>
          <w:sz w:val="20"/>
          <w:szCs w:val="20"/>
        </w:rPr>
        <w:t>I.</w:t>
      </w:r>
    </w:p>
    <w:p w:rsidR="00F3764D" w:rsidRDefault="00F3764D" w:rsidP="00F3764D">
      <w:pPr>
        <w:pStyle w:val="Bezproreda"/>
        <w:jc w:val="both"/>
        <w:rPr>
          <w:rFonts w:ascii="Tahoma" w:hAnsi="Tahoma" w:cs="Tahoma"/>
          <w:b/>
          <w:sz w:val="18"/>
          <w:szCs w:val="18"/>
        </w:rPr>
      </w:pP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Upućuje se na javnu raspravu </w:t>
      </w:r>
      <w:r>
        <w:rPr>
          <w:rFonts w:ascii="Tahoma" w:eastAsia="Tahoma" w:hAnsi="Tahoma" w:cs="Tahoma"/>
          <w:sz w:val="20"/>
          <w:szCs w:val="20"/>
        </w:rPr>
        <w:t>Studija  Glavne ocjene prihvatljivosti zahvata za ekološku mrežu: Izgradnja pristaništa Davor</w:t>
      </w:r>
      <w:r>
        <w:rPr>
          <w:rFonts w:ascii="Tahoma" w:hAnsi="Tahoma" w:cs="Tahoma"/>
          <w:sz w:val="20"/>
          <w:szCs w:val="20"/>
        </w:rPr>
        <w:t xml:space="preserve"> (u</w:t>
      </w:r>
      <w:r>
        <w:rPr>
          <w:rFonts w:ascii="Tahoma" w:eastAsia="Tahoma" w:hAnsi="Tahoma" w:cs="Tahoma"/>
          <w:sz w:val="20"/>
          <w:szCs w:val="20"/>
        </w:rPr>
        <w:t xml:space="preserve"> daljnjem tekstu: Studija), koju je za nositelja zahvata: Javne ustanove Lučka uprava Slavonski Brod, Šetalište braće Radića 19a, Slavonski Brod,  izradio ovlaštenik EKONERG d.o.o. iz Zagreba.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AB4B7F" w:rsidRDefault="00AB4B7F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II.</w:t>
      </w:r>
    </w:p>
    <w:p w:rsidR="00AB4B7F" w:rsidRDefault="00AB4B7F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  <w:r w:rsidRPr="00A07913">
        <w:rPr>
          <w:rFonts w:ascii="Tahoma" w:hAnsi="Tahoma" w:cs="Tahoma"/>
          <w:sz w:val="20"/>
          <w:szCs w:val="20"/>
        </w:rPr>
        <w:t xml:space="preserve">Javna  rasprava  </w:t>
      </w:r>
      <w:r>
        <w:rPr>
          <w:rFonts w:ascii="Tahoma" w:hAnsi="Tahoma" w:cs="Tahoma"/>
          <w:sz w:val="20"/>
          <w:szCs w:val="20"/>
        </w:rPr>
        <w:t>će se</w:t>
      </w:r>
      <w:r w:rsidRPr="00A07913">
        <w:rPr>
          <w:rFonts w:ascii="Tahoma" w:hAnsi="Tahoma" w:cs="Tahoma"/>
          <w:sz w:val="20"/>
          <w:szCs w:val="20"/>
        </w:rPr>
        <w:t xml:space="preserve"> provoditi </w:t>
      </w:r>
      <w:r>
        <w:rPr>
          <w:rFonts w:ascii="Tahoma" w:hAnsi="Tahoma" w:cs="Tahoma"/>
          <w:sz w:val="20"/>
          <w:szCs w:val="20"/>
        </w:rPr>
        <w:t>u razdoblju</w:t>
      </w:r>
      <w:r w:rsidRPr="00A07913">
        <w:rPr>
          <w:rFonts w:ascii="Tahoma" w:hAnsi="Tahoma" w:cs="Tahoma"/>
          <w:sz w:val="20"/>
          <w:szCs w:val="20"/>
        </w:rPr>
        <w:t xml:space="preserve"> </w:t>
      </w:r>
      <w:r w:rsidRPr="00A07913">
        <w:rPr>
          <w:rFonts w:ascii="Tahoma" w:hAnsi="Tahoma" w:cs="Tahoma"/>
          <w:b/>
          <w:bCs/>
          <w:sz w:val="20"/>
          <w:szCs w:val="20"/>
        </w:rPr>
        <w:t xml:space="preserve">od </w:t>
      </w:r>
      <w:r>
        <w:rPr>
          <w:rFonts w:ascii="Tahoma" w:hAnsi="Tahoma" w:cs="Tahoma"/>
          <w:b/>
          <w:bCs/>
          <w:sz w:val="20"/>
          <w:szCs w:val="20"/>
        </w:rPr>
        <w:t>12</w:t>
      </w:r>
      <w:r w:rsidRPr="00A07913">
        <w:rPr>
          <w:rFonts w:ascii="Tahoma" w:hAnsi="Tahoma" w:cs="Tahoma"/>
          <w:b/>
          <w:bCs/>
          <w:sz w:val="20"/>
          <w:szCs w:val="20"/>
        </w:rPr>
        <w:t xml:space="preserve">. </w:t>
      </w:r>
      <w:r>
        <w:rPr>
          <w:rFonts w:ascii="Tahoma" w:hAnsi="Tahoma" w:cs="Tahoma"/>
          <w:b/>
          <w:bCs/>
          <w:sz w:val="20"/>
          <w:szCs w:val="20"/>
        </w:rPr>
        <w:t xml:space="preserve">studenog </w:t>
      </w:r>
      <w:r w:rsidRPr="00A07913">
        <w:rPr>
          <w:rFonts w:ascii="Tahoma" w:hAnsi="Tahoma" w:cs="Tahoma"/>
          <w:b/>
          <w:bCs/>
          <w:sz w:val="20"/>
          <w:szCs w:val="20"/>
        </w:rPr>
        <w:t>do 1</w:t>
      </w:r>
      <w:r>
        <w:rPr>
          <w:rFonts w:ascii="Tahoma" w:hAnsi="Tahoma" w:cs="Tahoma"/>
          <w:b/>
          <w:bCs/>
          <w:sz w:val="20"/>
          <w:szCs w:val="20"/>
        </w:rPr>
        <w:t>1</w:t>
      </w:r>
      <w:r w:rsidRPr="00A07913">
        <w:rPr>
          <w:rFonts w:ascii="Tahoma" w:hAnsi="Tahoma" w:cs="Tahoma"/>
          <w:b/>
          <w:bCs/>
          <w:sz w:val="20"/>
          <w:szCs w:val="20"/>
        </w:rPr>
        <w:t xml:space="preserve">. </w:t>
      </w:r>
      <w:r>
        <w:rPr>
          <w:rFonts w:ascii="Tahoma" w:hAnsi="Tahoma" w:cs="Tahoma"/>
          <w:b/>
          <w:bCs/>
          <w:sz w:val="20"/>
          <w:szCs w:val="20"/>
        </w:rPr>
        <w:t>prosinca</w:t>
      </w:r>
      <w:r w:rsidRPr="00A07913">
        <w:rPr>
          <w:rFonts w:ascii="Tahoma" w:hAnsi="Tahoma" w:cs="Tahoma"/>
          <w:b/>
          <w:bCs/>
          <w:sz w:val="20"/>
          <w:szCs w:val="20"/>
        </w:rPr>
        <w:t xml:space="preserve"> 2024.</w:t>
      </w:r>
      <w:r w:rsidRPr="00A07913">
        <w:rPr>
          <w:rFonts w:ascii="Tahoma" w:hAnsi="Tahoma" w:cs="Tahoma"/>
          <w:b/>
          <w:sz w:val="20"/>
          <w:szCs w:val="20"/>
        </w:rPr>
        <w:t xml:space="preserve"> god.</w:t>
      </w:r>
    </w:p>
    <w:p w:rsidR="00AB4B7F" w:rsidRDefault="00AB4B7F" w:rsidP="00F3764D">
      <w:pPr>
        <w:pStyle w:val="Bezproreda"/>
        <w:jc w:val="both"/>
        <w:rPr>
          <w:rFonts w:ascii="Tahoma" w:hAnsi="Tahoma" w:cs="Tahoma"/>
          <w:bCs/>
          <w:sz w:val="20"/>
          <w:szCs w:val="20"/>
        </w:rPr>
      </w:pP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F3764D">
        <w:rPr>
          <w:rFonts w:ascii="Tahoma" w:hAnsi="Tahoma" w:cs="Tahoma"/>
          <w:bCs/>
          <w:sz w:val="20"/>
          <w:szCs w:val="20"/>
        </w:rPr>
        <w:t>Za vrijeme trajanja javne rasprave</w:t>
      </w:r>
      <w:r w:rsidRPr="00F3764D">
        <w:rPr>
          <w:rFonts w:ascii="Tahoma" w:hAnsi="Tahoma" w:cs="Tahoma"/>
          <w:bCs/>
          <w:sz w:val="20"/>
          <w:szCs w:val="20"/>
        </w:rPr>
        <w:t>,  svakog radnog dana od  8,00 do 14,00  sati, u  prostorijama</w:t>
      </w:r>
      <w:r w:rsidRPr="00A07913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Općine Davor, Ivana Gundulića 35, Davor</w:t>
      </w:r>
      <w:r>
        <w:rPr>
          <w:rFonts w:ascii="Tahoma" w:hAnsi="Tahoma" w:cs="Tahoma"/>
          <w:sz w:val="20"/>
          <w:szCs w:val="20"/>
        </w:rPr>
        <w:t>, biti će omogućen</w:t>
      </w:r>
      <w:r>
        <w:rPr>
          <w:rFonts w:ascii="Tahoma" w:hAnsi="Tahoma" w:cs="Tahoma"/>
          <w:sz w:val="20"/>
          <w:szCs w:val="20"/>
        </w:rPr>
        <w:t xml:space="preserve"> uvidu</w:t>
      </w:r>
      <w:r>
        <w:rPr>
          <w:rFonts w:ascii="Tahoma" w:hAnsi="Tahoma" w:cs="Tahoma"/>
          <w:sz w:val="20"/>
          <w:szCs w:val="20"/>
        </w:rPr>
        <w:t xml:space="preserve"> u</w:t>
      </w:r>
      <w:r>
        <w:rPr>
          <w:rFonts w:ascii="Tahoma" w:hAnsi="Tahoma" w:cs="Tahoma"/>
          <w:sz w:val="20"/>
          <w:szCs w:val="20"/>
        </w:rPr>
        <w:t xml:space="preserve"> izložen</w:t>
      </w:r>
      <w:r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Studij</w:t>
      </w:r>
      <w:r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s dostupnom knjigom primjedbi. </w:t>
      </w: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Studija će s danom početka javne rasprave biti dostupna javnosti i na mrežnim stranicama Brodsko-posavske županije </w:t>
      </w:r>
      <w:hyperlink r:id="rId5" w:history="1">
        <w:r w:rsidRPr="00F97B03">
          <w:rPr>
            <w:rStyle w:val="Hiperveza"/>
            <w:rFonts w:ascii="Tahoma" w:hAnsi="Tahoma" w:cs="Tahoma"/>
            <w:sz w:val="20"/>
            <w:szCs w:val="20"/>
          </w:rPr>
          <w:t>www.bpz.hr</w:t>
        </w:r>
      </w:hyperlink>
      <w:r>
        <w:rPr>
          <w:rFonts w:ascii="Tahoma" w:hAnsi="Tahoma" w:cs="Tahoma"/>
          <w:sz w:val="20"/>
          <w:szCs w:val="20"/>
        </w:rPr>
        <w:t xml:space="preserve">. </w:t>
      </w:r>
    </w:p>
    <w:p w:rsidR="00AB4B7F" w:rsidRDefault="00AB4B7F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A07913">
        <w:rPr>
          <w:rFonts w:ascii="Tahoma" w:hAnsi="Tahoma" w:cs="Tahoma"/>
          <w:sz w:val="20"/>
          <w:szCs w:val="20"/>
        </w:rPr>
        <w:t xml:space="preserve">Javno izlaganje  sa nazočnim predstavnicima nositelja zahvata i ovlaštenika, na  kojem će  se raspravljati  i  neposredno odgovarati  na postavljena pitanja  nazočne  javnosti i zainteresirane  javnosti, održati  će  se dana </w:t>
      </w:r>
      <w:r>
        <w:rPr>
          <w:rFonts w:ascii="Tahoma" w:hAnsi="Tahoma" w:cs="Tahoma"/>
          <w:b/>
          <w:bCs/>
          <w:sz w:val="20"/>
          <w:szCs w:val="20"/>
        </w:rPr>
        <w:t xml:space="preserve"> 20. studenog </w:t>
      </w:r>
      <w:r w:rsidRPr="00A07913">
        <w:rPr>
          <w:rFonts w:ascii="Tahoma" w:hAnsi="Tahoma" w:cs="Tahoma"/>
          <w:b/>
          <w:sz w:val="20"/>
          <w:szCs w:val="20"/>
        </w:rPr>
        <w:t>2024. god. (</w:t>
      </w:r>
      <w:r>
        <w:rPr>
          <w:rFonts w:ascii="Tahoma" w:hAnsi="Tahoma" w:cs="Tahoma"/>
          <w:b/>
          <w:sz w:val="20"/>
          <w:szCs w:val="20"/>
        </w:rPr>
        <w:t>srijeda</w:t>
      </w:r>
      <w:r w:rsidRPr="00A07913">
        <w:rPr>
          <w:rFonts w:ascii="Tahoma" w:hAnsi="Tahoma" w:cs="Tahoma"/>
          <w:b/>
          <w:sz w:val="20"/>
          <w:szCs w:val="20"/>
        </w:rPr>
        <w:t>) u 1</w:t>
      </w:r>
      <w:r>
        <w:rPr>
          <w:rFonts w:ascii="Tahoma" w:hAnsi="Tahoma" w:cs="Tahoma"/>
          <w:b/>
          <w:sz w:val="20"/>
          <w:szCs w:val="20"/>
        </w:rPr>
        <w:t>2</w:t>
      </w:r>
      <w:r w:rsidRPr="00A07913">
        <w:rPr>
          <w:rFonts w:ascii="Tahoma" w:hAnsi="Tahoma" w:cs="Tahoma"/>
          <w:b/>
          <w:sz w:val="20"/>
          <w:szCs w:val="20"/>
        </w:rPr>
        <w:t>,00</w:t>
      </w:r>
      <w:r w:rsidRPr="00A07913">
        <w:rPr>
          <w:rFonts w:ascii="Tahoma" w:hAnsi="Tahoma" w:cs="Tahoma"/>
          <w:sz w:val="20"/>
          <w:szCs w:val="20"/>
        </w:rPr>
        <w:t xml:space="preserve"> sati u </w:t>
      </w:r>
      <w:r>
        <w:rPr>
          <w:rFonts w:ascii="Tahoma" w:hAnsi="Tahoma" w:cs="Tahoma"/>
          <w:sz w:val="20"/>
          <w:szCs w:val="20"/>
        </w:rPr>
        <w:t xml:space="preserve">prostorijama Općine Davor, Ivana Gundulića 35, Davor. </w:t>
      </w:r>
    </w:p>
    <w:p w:rsidR="00AB4B7F" w:rsidRDefault="00AB4B7F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III.</w:t>
      </w:r>
    </w:p>
    <w:p w:rsidR="00AB4B7F" w:rsidRDefault="00AB4B7F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Mišljenja,  primjedbe  i  prijedlozi o Studiji, mogu se upisati u knjigu primjedbi  ili izjavom u zapisnik prilikom javnog izlaganja ili  se mogu dostaviti  pisano, zaključno sa zadnjim danom  javne  rasprave,  na adresu: Brodsko-posavska županija, Upravni odjel za graditeljstvo, infrastrukturu i zaštitu okoliša, Petra  Krešimira IV. br. 1, 35000 Slavonski Brod.  </w:t>
      </w:r>
    </w:p>
    <w:p w:rsidR="00F3764D" w:rsidRDefault="00F3764D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Primjedbe, prijedlozi i mišljenja koji ne budu dostavljeni u roku i nisu čitko napisani, neće se uzeti u obzir u pripremi izvješća o javnoj raspravi. </w:t>
      </w:r>
    </w:p>
    <w:p w:rsidR="00AB4B7F" w:rsidRDefault="00AB4B7F" w:rsidP="00F3764D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F3764D" w:rsidRDefault="00F3764D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IV.</w:t>
      </w:r>
    </w:p>
    <w:p w:rsidR="00AB4B7F" w:rsidRDefault="00AB4B7F" w:rsidP="00F3764D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F3764D" w:rsidRPr="00AB4B7F" w:rsidRDefault="00F3764D" w:rsidP="00AB4B7F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AB4B7F">
        <w:rPr>
          <w:rFonts w:ascii="Tahoma" w:hAnsi="Tahoma" w:cs="Tahoma"/>
          <w:sz w:val="20"/>
          <w:szCs w:val="20"/>
        </w:rPr>
        <w:t>Obavijest se objavljuje u „Večernjem listu“, te na oglasnim  pločama i mrežnim stranicama Brodsko-posavske županije</w:t>
      </w:r>
      <w:r w:rsidRPr="00AB4B7F">
        <w:rPr>
          <w:rFonts w:ascii="Tahoma" w:hAnsi="Tahoma" w:cs="Tahoma"/>
          <w:sz w:val="20"/>
          <w:szCs w:val="20"/>
        </w:rPr>
        <w:t xml:space="preserve"> </w:t>
      </w:r>
      <w:r w:rsidRPr="00AB4B7F">
        <w:rPr>
          <w:rFonts w:ascii="Tahoma" w:hAnsi="Tahoma" w:cs="Tahoma"/>
          <w:sz w:val="20"/>
          <w:szCs w:val="20"/>
        </w:rPr>
        <w:t xml:space="preserve"> i Općine Davor.</w:t>
      </w:r>
    </w:p>
    <w:p w:rsidR="00F3764D" w:rsidRPr="00AB4B7F" w:rsidRDefault="00F3764D" w:rsidP="00AB4B7F">
      <w:pPr>
        <w:jc w:val="both"/>
        <w:rPr>
          <w:rFonts w:ascii="Tahoma" w:hAnsi="Tahoma" w:cs="Tahoma"/>
          <w:sz w:val="20"/>
          <w:szCs w:val="20"/>
        </w:rPr>
      </w:pPr>
    </w:p>
    <w:p w:rsidR="00AB4B7F" w:rsidRPr="00AB4B7F" w:rsidRDefault="00AB4B7F" w:rsidP="00AB4B7F">
      <w:pPr>
        <w:jc w:val="center"/>
        <w:rPr>
          <w:rFonts w:ascii="Tahoma" w:hAnsi="Tahoma" w:cs="Tahoma"/>
          <w:sz w:val="20"/>
          <w:szCs w:val="20"/>
        </w:rPr>
      </w:pPr>
      <w:r w:rsidRPr="00AB4B7F">
        <w:rPr>
          <w:rFonts w:ascii="Tahoma" w:hAnsi="Tahoma" w:cs="Tahoma"/>
          <w:sz w:val="20"/>
          <w:szCs w:val="20"/>
        </w:rPr>
        <w:t>V.</w:t>
      </w:r>
    </w:p>
    <w:p w:rsidR="00F3764D" w:rsidRPr="00AB4B7F" w:rsidRDefault="00AB4B7F" w:rsidP="00AB4B7F">
      <w:pPr>
        <w:jc w:val="both"/>
        <w:rPr>
          <w:rFonts w:ascii="Tahoma" w:hAnsi="Tahoma" w:cs="Tahoma"/>
          <w:sz w:val="20"/>
          <w:szCs w:val="20"/>
        </w:rPr>
      </w:pPr>
      <w:r w:rsidRPr="00AB4B7F">
        <w:rPr>
          <w:rFonts w:ascii="Tahoma" w:hAnsi="Tahoma" w:cs="Tahoma"/>
          <w:sz w:val="20"/>
          <w:szCs w:val="20"/>
        </w:rPr>
        <w:t xml:space="preserve">O ishodu postupka </w:t>
      </w:r>
      <w:r w:rsidR="00E926C3">
        <w:rPr>
          <w:rFonts w:ascii="Tahoma" w:hAnsi="Tahoma" w:cs="Tahoma"/>
          <w:sz w:val="20"/>
          <w:szCs w:val="20"/>
        </w:rPr>
        <w:t>G</w:t>
      </w:r>
      <w:r w:rsidRPr="00AB4B7F">
        <w:rPr>
          <w:rFonts w:ascii="Tahoma" w:hAnsi="Tahoma" w:cs="Tahoma"/>
          <w:sz w:val="20"/>
          <w:szCs w:val="20"/>
        </w:rPr>
        <w:t xml:space="preserve">lavne ocjene Upravni odjel za graditeljstvo, infrastrukturu i zaštitu okoliša Brodsko-posavske županije, Odsjek za infrastrukturu, zaštitu okoliša i obnovu, informirati će javnost i zainteresiranu javnost objavom rješenja donesenog u postupku </w:t>
      </w:r>
      <w:r w:rsidR="00E926C3">
        <w:rPr>
          <w:rFonts w:ascii="Tahoma" w:hAnsi="Tahoma" w:cs="Tahoma"/>
          <w:sz w:val="20"/>
          <w:szCs w:val="20"/>
        </w:rPr>
        <w:t>G</w:t>
      </w:r>
      <w:r w:rsidRPr="00AB4B7F">
        <w:rPr>
          <w:rFonts w:ascii="Tahoma" w:hAnsi="Tahoma" w:cs="Tahoma"/>
          <w:sz w:val="20"/>
          <w:szCs w:val="20"/>
        </w:rPr>
        <w:t>lavne ocjene na mrežnim str</w:t>
      </w:r>
      <w:r>
        <w:rPr>
          <w:rFonts w:ascii="Tahoma" w:hAnsi="Tahoma" w:cs="Tahoma"/>
          <w:sz w:val="20"/>
          <w:szCs w:val="20"/>
        </w:rPr>
        <w:t>a</w:t>
      </w:r>
      <w:r w:rsidRPr="00AB4B7F">
        <w:rPr>
          <w:rFonts w:ascii="Tahoma" w:hAnsi="Tahoma" w:cs="Tahoma"/>
          <w:sz w:val="20"/>
          <w:szCs w:val="20"/>
        </w:rPr>
        <w:t>nicama Brodsko-posavske županije.</w:t>
      </w:r>
    </w:p>
    <w:p w:rsidR="00F3764D" w:rsidRPr="00EB00E4" w:rsidRDefault="00F3764D" w:rsidP="00F3764D">
      <w:pPr>
        <w:pStyle w:val="Bezproreda"/>
        <w:jc w:val="both"/>
        <w:rPr>
          <w:rFonts w:ascii="Tahoma" w:hAnsi="Tahoma" w:cs="Tahoma"/>
        </w:rPr>
      </w:pPr>
    </w:p>
    <w:p w:rsidR="00F3764D" w:rsidRPr="00EB00E4" w:rsidRDefault="00F3764D" w:rsidP="00F3764D">
      <w:pPr>
        <w:pStyle w:val="Bezproreda"/>
        <w:jc w:val="both"/>
        <w:rPr>
          <w:rFonts w:ascii="Tahoma" w:hAnsi="Tahoma" w:cs="Tahoma"/>
        </w:rPr>
      </w:pPr>
    </w:p>
    <w:p w:rsidR="00F3764D" w:rsidRPr="00EB00E4" w:rsidRDefault="00F3764D" w:rsidP="00F3764D">
      <w:pPr>
        <w:pStyle w:val="Bezproreda"/>
        <w:jc w:val="both"/>
        <w:rPr>
          <w:rFonts w:ascii="Tahoma" w:hAnsi="Tahoma" w:cs="Tahoma"/>
        </w:rPr>
      </w:pPr>
    </w:p>
    <w:p w:rsidR="00F3764D" w:rsidRPr="00EB00E4" w:rsidRDefault="00F3764D" w:rsidP="00F3764D">
      <w:pPr>
        <w:pStyle w:val="Bezproreda"/>
        <w:jc w:val="center"/>
        <w:rPr>
          <w:rFonts w:ascii="Tahoma" w:hAnsi="Tahoma" w:cs="Tahoma"/>
        </w:rPr>
      </w:pPr>
      <w:r w:rsidRPr="00EB00E4">
        <w:rPr>
          <w:rFonts w:ascii="Tahoma" w:hAnsi="Tahoma" w:cs="Tahoma"/>
          <w:b/>
          <w:bCs/>
        </w:rPr>
        <w:t>BRODSKO-POSAVSKA ŽUPANIJA</w:t>
      </w:r>
    </w:p>
    <w:p w:rsidR="00F3764D" w:rsidRPr="00EB00E4" w:rsidRDefault="00F3764D" w:rsidP="00F3764D">
      <w:pPr>
        <w:pStyle w:val="Bezproreda"/>
        <w:jc w:val="center"/>
        <w:rPr>
          <w:rFonts w:ascii="Tahoma" w:hAnsi="Tahoma" w:cs="Tahoma"/>
          <w:b/>
          <w:bCs/>
        </w:rPr>
      </w:pPr>
      <w:r w:rsidRPr="00EB00E4">
        <w:rPr>
          <w:rFonts w:ascii="Tahoma" w:hAnsi="Tahoma" w:cs="Tahoma"/>
          <w:b/>
          <w:bCs/>
        </w:rPr>
        <w:t>UPRAVNI ODJEL ZA GRADITELJSTVO, INFRASTRUKTURU I  ZAŠTITU OKOLIŠA</w:t>
      </w:r>
      <w:bookmarkEnd w:id="1"/>
    </w:p>
    <w:p w:rsidR="007145CA" w:rsidRDefault="007145CA"/>
    <w:sectPr w:rsidR="007145CA" w:rsidSect="00F3764D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64D"/>
    <w:rsid w:val="00080B0A"/>
    <w:rsid w:val="007145CA"/>
    <w:rsid w:val="00AB4B7F"/>
    <w:rsid w:val="00D46A05"/>
    <w:rsid w:val="00DA24B2"/>
    <w:rsid w:val="00E926C3"/>
    <w:rsid w:val="00F3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B176"/>
  <w15:chartTrackingRefBased/>
  <w15:docId w15:val="{CFA7BB38-0130-4A25-96DE-B1B0CF39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64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3764D"/>
    <w:pPr>
      <w:spacing w:after="0" w:line="240" w:lineRule="auto"/>
    </w:pPr>
    <w:rPr>
      <w:kern w:val="0"/>
      <w14:ligatures w14:val="none"/>
    </w:rPr>
  </w:style>
  <w:style w:type="character" w:styleId="Hiperveza">
    <w:name w:val="Hyperlink"/>
    <w:basedOn w:val="Zadanifontodlomka"/>
    <w:uiPriority w:val="99"/>
    <w:unhideWhenUsed/>
    <w:rsid w:val="00F376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1</cp:revision>
  <dcterms:created xsi:type="dcterms:W3CDTF">2024-11-04T09:56:00Z</dcterms:created>
  <dcterms:modified xsi:type="dcterms:W3CDTF">2024-11-04T10:34:00Z</dcterms:modified>
</cp:coreProperties>
</file>