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33895" w14:textId="615FDE5B" w:rsidR="00D00A9A" w:rsidRPr="00084FE1" w:rsidRDefault="00084FE1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84FE1">
        <w:rPr>
          <w:rFonts w:ascii="Times New Roman" w:hAnsi="Times New Roman" w:cs="Times New Roman"/>
          <w:b/>
          <w:sz w:val="24"/>
          <w:szCs w:val="24"/>
        </w:rPr>
        <w:t>Prilog 2.</w:t>
      </w:r>
    </w:p>
    <w:p w14:paraId="51AE7D47" w14:textId="77777777" w:rsidR="00D00A9A" w:rsidRPr="00084FE1" w:rsidRDefault="00D00A9A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4FE1">
        <w:rPr>
          <w:rFonts w:ascii="Times New Roman" w:hAnsi="Times New Roman" w:cs="Times New Roman"/>
          <w:b/>
          <w:sz w:val="24"/>
          <w:szCs w:val="24"/>
        </w:rPr>
        <w:t>PROJEKTNI ZADATAK</w:t>
      </w:r>
    </w:p>
    <w:bookmarkEnd w:id="0"/>
    <w:p w14:paraId="2E08DBC5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Izrada projektne dokumentacije – izrada glavnog projekta i druge dokumentacije (sukladno propozicijama Ministarstva znanosti i obrazovanja) te ishođenje građevinske dozvole i izrada troškovnika.</w:t>
      </w:r>
    </w:p>
    <w:p w14:paraId="24E3D947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1341EC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OPIS PLANIRANOG ZAHVATA</w:t>
      </w:r>
    </w:p>
    <w:p w14:paraId="01D4DF5E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Ukupan broj učenika u 2022. godini koji pohađaju nastavu iznosi 273 učenika. Ukupan broj razrednih odjel 22, od čega 8 odjela predmetne nastave i 14 odjela razredne nastave (od čega 12 kombiniranih razrednih odjel u područnim školama).</w:t>
      </w:r>
    </w:p>
    <w:p w14:paraId="5E89CA73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Raspodjela prema broju učenika:</w:t>
      </w:r>
    </w:p>
    <w:p w14:paraId="67288B8C" w14:textId="77777777" w:rsidR="00D00A9A" w:rsidRPr="008C3A46" w:rsidRDefault="00D00A9A" w:rsidP="00D00A9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1. do 4. razred 122 učenika</w:t>
      </w:r>
    </w:p>
    <w:p w14:paraId="197E6EAD" w14:textId="77777777" w:rsidR="00D00A9A" w:rsidRPr="008C3A46" w:rsidRDefault="00D00A9A" w:rsidP="00D00A9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5. do 8. razred 151 učenik</w:t>
      </w:r>
    </w:p>
    <w:p w14:paraId="22689D25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Dogradnjom predviđenog broja učionica i pratećih prostora omogućit će se organiziranje kompletne nastave samu u matičnoj školi u čistim odjeljenjima. Ovim se ukida izvođenje nastave u kombiniranim razredima. Isto tako se osigurava jedno smjenska nastava i jednaki uvjeti za sve učenike.</w:t>
      </w:r>
    </w:p>
    <w:p w14:paraId="2261540F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Lociranjem dogradnje uz postojeću školu biti će potrebno riješiti nove pristupne ceste, parking za osobne automobile i autobuse koji dovoze učenike, te javnu rasvjetu parkirališta.</w:t>
      </w:r>
    </w:p>
    <w:p w14:paraId="0AE27F19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Čestica k. č. 984, k.o.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Bebrina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 je postojeća, površine prema zemljišnim knjigama 33.097m2.</w:t>
      </w:r>
    </w:p>
    <w:p w14:paraId="2E3285AD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Čestica k. č. 984 orijentirana je u smjeru istok-zapad, pravilnog poligonalnog oblika površine 33.097m2. Čestica k.</w:t>
      </w:r>
      <w:r w:rsidR="001A007D"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Pr="008C3A46">
        <w:rPr>
          <w:rFonts w:ascii="Times New Roman" w:hAnsi="Times New Roman" w:cs="Times New Roman"/>
          <w:sz w:val="24"/>
          <w:szCs w:val="24"/>
        </w:rPr>
        <w:t>č. 984 na sjevernoj strani graniči s česti</w:t>
      </w:r>
      <w:r w:rsidR="001A007D" w:rsidRPr="008C3A46">
        <w:rPr>
          <w:rFonts w:ascii="Times New Roman" w:hAnsi="Times New Roman" w:cs="Times New Roman"/>
          <w:sz w:val="24"/>
          <w:szCs w:val="24"/>
        </w:rPr>
        <w:t xml:space="preserve">com k. č. 985/2, na zapadnoj strani graniči s k-č. 12131, na južnoj strani graniči s </w:t>
      </w:r>
      <w:proofErr w:type="spellStart"/>
      <w:r w:rsidR="001A007D" w:rsidRPr="008C3A46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1A007D" w:rsidRPr="008C3A46">
        <w:rPr>
          <w:rFonts w:ascii="Times New Roman" w:hAnsi="Times New Roman" w:cs="Times New Roman"/>
          <w:sz w:val="24"/>
          <w:szCs w:val="24"/>
        </w:rPr>
        <w:t>. 35/1, a na istočnoj strani s k.č.1229-prometnica preko koje se ostvaruje kolni i pješački prilaz parceli. Veličina i oblik parcele vidiji su na Situaciji u Grafičkim prilozima.</w:t>
      </w:r>
    </w:p>
    <w:p w14:paraId="633EFC09" w14:textId="77777777" w:rsidR="001A007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580C0" w14:textId="77777777" w:rsidR="008C3A46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A1B385" w14:textId="77777777" w:rsidR="008C3A46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716BF" w14:textId="77777777" w:rsidR="008C3A46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9E2479" w14:textId="77777777" w:rsidR="008C3A46" w:rsidRPr="008C3A46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57DC56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SITUACIJA/POSTOJEĆE STANJE</w:t>
      </w:r>
    </w:p>
    <w:p w14:paraId="7FAC7467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FA9739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Postojeće školska zgrada oblikovna je kao samostojeće građevina razvedenog tlocrtnog oblika, na k-č- 6690/1, površine 33.097,00 m2 prema izvatku iz zemljišnih knjiga, te je koncipirana na bazi 273 učenika.</w:t>
      </w:r>
    </w:p>
    <w:p w14:paraId="49881D3B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lastRenderedPageBreak/>
        <w:t>Postojeće školska zagrada je smještena na sjevernom dijelu parcele, prema postojećoj prometnici sa koje se ostvaruje kloni i pješački pristup.</w:t>
      </w:r>
    </w:p>
    <w:p w14:paraId="02DE4792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F38D3" w14:textId="54C5993B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ISKAZ POVRŠINA NOVOPROJEKTIRANOG DOGRAĐENOG DIJELA OBJEKTA</w:t>
      </w:r>
    </w:p>
    <w:p w14:paraId="4186E68B" w14:textId="26147DB2" w:rsidR="001A007D" w:rsidRPr="008C3A46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A46">
        <w:rPr>
          <w:rFonts w:ascii="Times New Roman" w:hAnsi="Times New Roman" w:cs="Times New Roman"/>
          <w:b/>
          <w:bCs/>
          <w:sz w:val="24"/>
          <w:szCs w:val="24"/>
        </w:rPr>
        <w:t xml:space="preserve">Građevinska bruto površina zgrade prema Članku 3. Zakona o prostornom uređenju </w:t>
      </w:r>
    </w:p>
    <w:p w14:paraId="14348269" w14:textId="653F2182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A46">
        <w:rPr>
          <w:rFonts w:ascii="Times New Roman" w:hAnsi="Times New Roman" w:cs="Times New Roman"/>
          <w:sz w:val="24"/>
          <w:szCs w:val="24"/>
          <w:u w:val="single"/>
        </w:rPr>
        <w:t>Prizemlje: 16,20x81,45+9,50x6,20+3,60x4,50+3,25x10,00=1.426,87+118,59=1545,46m2</w:t>
      </w:r>
    </w:p>
    <w:p w14:paraId="7FDAD3FC" w14:textId="77777777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62AC4" w14:textId="085D1A31" w:rsidR="001A007D" w:rsidRPr="008C3A46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ISKAZ POVRŠINA POSTOJEĆEG OBJEKTA</w:t>
      </w:r>
    </w:p>
    <w:p w14:paraId="213DFC95" w14:textId="79ED2268" w:rsidR="001A007D" w:rsidRPr="008C3A46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Građevinska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brtuo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 površina zgrade prema Članku 3. Zakona o prostornom uređenju </w:t>
      </w:r>
    </w:p>
    <w:p w14:paraId="5AAF4E50" w14:textId="343B81D3" w:rsidR="001A007D" w:rsidRPr="008C3A46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Prizemlje: 1714,37m2</w:t>
      </w:r>
    </w:p>
    <w:p w14:paraId="42AB045A" w14:textId="2D8CEEDC" w:rsidR="001A007D" w:rsidRPr="008C3A46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Potkrovlje: 14662 m2</w:t>
      </w:r>
    </w:p>
    <w:p w14:paraId="2518A4B8" w14:textId="77777777" w:rsidR="001A007D" w:rsidRPr="008C3A46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ADA067" w14:textId="0D6E3D7C" w:rsidR="001A007D" w:rsidRPr="008C3A46" w:rsidRDefault="001A007D" w:rsidP="001A007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3A46">
        <w:rPr>
          <w:rFonts w:ascii="Times New Roman" w:hAnsi="Times New Roman" w:cs="Times New Roman"/>
          <w:sz w:val="24"/>
          <w:szCs w:val="24"/>
          <w:u w:val="single"/>
        </w:rPr>
        <w:t>ISKAZ POVRŠINA SVEUKPNO (POSTOJEĆE+</w:t>
      </w:r>
      <w:r w:rsidR="00863447" w:rsidRPr="008C3A46">
        <w:rPr>
          <w:rFonts w:ascii="Times New Roman" w:hAnsi="Times New Roman" w:cs="Times New Roman"/>
          <w:sz w:val="24"/>
          <w:szCs w:val="24"/>
          <w:u w:val="single"/>
        </w:rPr>
        <w:t>NOVOPROJEKTIRANO)</w:t>
      </w:r>
    </w:p>
    <w:p w14:paraId="0D4EC1A3" w14:textId="77777777" w:rsidR="00863447" w:rsidRPr="008C3A46" w:rsidRDefault="00863447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60F00" w14:textId="5BAE39A3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1409C8CC" w14:textId="498F5829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3A46">
        <w:rPr>
          <w:rFonts w:ascii="Times New Roman" w:hAnsi="Times New Roman" w:cs="Times New Roman"/>
          <w:sz w:val="24"/>
          <w:szCs w:val="24"/>
        </w:rPr>
        <w:t>Prizemlje+Potkrovlje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>: 1.714,37+146,62+1.498,72m2=3.359,71m2</w:t>
      </w:r>
    </w:p>
    <w:p w14:paraId="01B74B6B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A073A" w14:textId="405E86CA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Napomena:</w:t>
      </w:r>
    </w:p>
    <w:p w14:paraId="2A9C169E" w14:textId="0E1CCED3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Sve površine dogradnje date su sukladno Idejnom rješenju a točne površine definirati će se nakon glavnim projektom.</w:t>
      </w:r>
    </w:p>
    <w:p w14:paraId="7F066FB2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FCC0CD" w14:textId="3BAE3B96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Sadržaj projektne dokumentacije</w:t>
      </w:r>
    </w:p>
    <w:p w14:paraId="11EDAAF0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F9D37" w14:textId="69488835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Investitor posjeduje i u mogućnosti je predati ponuditelju idejno rješenje dogradnje „MATIJA ANTUN RELJKOVIĆ“ DOGRADNJA ŠKOLE LOKACIJE GRAĐEVINE: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. 984, k.o.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Bebrina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>.</w:t>
      </w:r>
    </w:p>
    <w:p w14:paraId="57640FB4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35BE0" w14:textId="13E1C440" w:rsidR="00D00A9A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 na idejno rješenje/projekt zahvata u prostoru za osnovne škole od 11. 7. 2023. godine.</w:t>
      </w:r>
    </w:p>
    <w:p w14:paraId="486249AA" w14:textId="77777777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5EA87" w14:textId="720E09CB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lastRenderedPageBreak/>
        <w:t xml:space="preserve">Izrada projektno-tehničke dokumentacije potreban za ishođenje građevinske dozvole obuhvaća: </w:t>
      </w:r>
    </w:p>
    <w:p w14:paraId="0883DA11" w14:textId="796C8041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Opis i prikaz zahvata te ishođenje posebnih uvjeta i uvjeta priključenja javno pravnih tijela.</w:t>
      </w:r>
    </w:p>
    <w:p w14:paraId="36827E4C" w14:textId="42A99005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koji sadrži sve potreban nacrt i dokumente potrebnih struka uključujući 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 elaborate:</w:t>
      </w:r>
    </w:p>
    <w:p w14:paraId="4C76FEB2" w14:textId="77777777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A398F36" w14:textId="3798FA09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Geodetski elaborat,</w:t>
      </w:r>
    </w:p>
    <w:p w14:paraId="2E6F2701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2474C325" w14:textId="11ED629C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na radu,</w:t>
      </w:r>
    </w:p>
    <w:p w14:paraId="01090E8F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54EF490" w14:textId="481613F0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požara,</w:t>
      </w:r>
    </w:p>
    <w:p w14:paraId="4DEFD5E8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F2B5F32" w14:textId="1DE9EDDB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Utjecanja zahvata na okoliš u skladu s posebnim propisom, ukoliko se pojavi potreba</w:t>
      </w:r>
    </w:p>
    <w:p w14:paraId="70FA19FE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6E424" w14:textId="61993A84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buke</w:t>
      </w:r>
    </w:p>
    <w:p w14:paraId="49133465" w14:textId="77777777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Po potrebi i drugu dokumentaciju potrebu za ishođenje dozvole, te sve usklade s važećim</w:t>
      </w:r>
    </w:p>
    <w:p w14:paraId="54FDE510" w14:textId="47B36AC0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 prostornim planom</w:t>
      </w:r>
    </w:p>
    <w:p w14:paraId="0AFCA53D" w14:textId="775939FC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Izrađena i plaćena projektna dokumentacija postaje vlasništvo investitora.</w:t>
      </w:r>
    </w:p>
    <w:p w14:paraId="636EB5A1" w14:textId="6C98BA3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predaje se u tiskanom obliku:</w:t>
      </w:r>
    </w:p>
    <w:p w14:paraId="6C03731F" w14:textId="70D1689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 3 uvezanih primjeraka te</w:t>
      </w:r>
    </w:p>
    <w:p w14:paraId="7E3A0C52" w14:textId="07B4070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U 2 digitalna primjerka u pdf formatu i u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 formatu (otvoren sa svim podlogama koje su korištene, karte, slike i dr.).</w:t>
      </w:r>
    </w:p>
    <w:p w14:paraId="20AD6596" w14:textId="706917E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Dokumentacija mora biti izrađena od strane osoba ovlaštenih prema posebnom propisu za izradu pojedinih vrsta dokumenata. Dokumenti moraju biti usklađeni s odredbama važećih Zakona i podzakonskih propisa kao i prostornih planova u obuhvatu kojih se nalazi predmetna lokacija. Ukoliko se utvrdi neusklađenost projekta s propisima projektant je tak nedostatak dužan otkloniti o vlastitom trošku bez prava na dodatnu naknadu i nadoknaditi i investitoru eventualnu štetu.</w:t>
      </w:r>
    </w:p>
    <w:p w14:paraId="0185DF3D" w14:textId="01E8BBF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Elaborati moraju biti izrađeni od strane osoba ovlaštenih prema posebnom propisu za izradu posjednih vrsta elaborat. Elaborati moraju biti usklađeni s odredbama važećih Zakona i podzakonskih propisa kao i prostornih planova u obuhvatu kojih se nalazi predmetan lokacija. </w:t>
      </w:r>
    </w:p>
    <w:p w14:paraId="25797950" w14:textId="68747B56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Ukoliko se utvrdi neusklađenost elaborata s propisima izrađivač elaborata je taj nedostatak dužan otkloniti o vlastitom trošku bez prava na dodatnu naknadu i nadoknaditi investitoru eventualnu štetu.</w:t>
      </w:r>
    </w:p>
    <w:p w14:paraId="0E9E1D94" w14:textId="2A38CBA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Posebne uvjete i uvjete priključenja pribavlja projektant. Potvrde glavnog projekta </w:t>
      </w:r>
      <w:r w:rsidR="007C3441" w:rsidRPr="008C3A46">
        <w:rPr>
          <w:rFonts w:ascii="Times New Roman" w:hAnsi="Times New Roman" w:cs="Times New Roman"/>
          <w:sz w:val="24"/>
          <w:szCs w:val="24"/>
        </w:rPr>
        <w:t>pribavlja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projektant. Ukoliko su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izmjene</w:t>
      </w:r>
      <w:r w:rsidRPr="008C3A46">
        <w:rPr>
          <w:rFonts w:ascii="Times New Roman" w:hAnsi="Times New Roman" w:cs="Times New Roman"/>
          <w:sz w:val="24"/>
          <w:szCs w:val="24"/>
        </w:rPr>
        <w:t xml:space="preserve">, dopune ili </w:t>
      </w:r>
      <w:r w:rsidR="007C3441" w:rsidRPr="008C3A46">
        <w:rPr>
          <w:rFonts w:ascii="Times New Roman" w:hAnsi="Times New Roman" w:cs="Times New Roman"/>
          <w:sz w:val="24"/>
          <w:szCs w:val="24"/>
        </w:rPr>
        <w:t>ispravci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projekata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prema </w:t>
      </w:r>
      <w:r w:rsidR="007C3441" w:rsidRPr="008C3A46">
        <w:rPr>
          <w:rFonts w:ascii="Times New Roman" w:hAnsi="Times New Roman" w:cs="Times New Roman"/>
          <w:sz w:val="24"/>
          <w:szCs w:val="24"/>
        </w:rPr>
        <w:t>zahtjevima</w:t>
      </w:r>
      <w:r w:rsidRPr="008C3A46">
        <w:rPr>
          <w:rFonts w:ascii="Times New Roman" w:hAnsi="Times New Roman" w:cs="Times New Roman"/>
          <w:sz w:val="24"/>
          <w:szCs w:val="24"/>
        </w:rPr>
        <w:t xml:space="preserve"> javno </w:t>
      </w:r>
      <w:r w:rsidRPr="008C3A46">
        <w:rPr>
          <w:rFonts w:ascii="Times New Roman" w:hAnsi="Times New Roman" w:cs="Times New Roman"/>
          <w:sz w:val="24"/>
          <w:szCs w:val="24"/>
        </w:rPr>
        <w:lastRenderedPageBreak/>
        <w:t xml:space="preserve">pravnih tijela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projektant</w:t>
      </w:r>
      <w:r w:rsidRPr="008C3A46">
        <w:rPr>
          <w:rFonts w:ascii="Times New Roman" w:hAnsi="Times New Roman" w:cs="Times New Roman"/>
          <w:sz w:val="24"/>
          <w:szCs w:val="24"/>
        </w:rPr>
        <w:t xml:space="preserve"> je dužan izvršiti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 radnje bez prava na dodatnu naknadu i nadoknaditi investitoru eventualnu štetu.</w:t>
      </w:r>
    </w:p>
    <w:p w14:paraId="287AF51D" w14:textId="2DDF632C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Građevinsku dozvolu ishodi projektant u ime investitora. Ukoliko su potrebne izmjene, dopune ili ispravci projektant prema zahtjevima tijela koje izdaje građevinsku dozvolu projektant je dužan izvršiti potrebne radnje bez prava na dodatnu naknadu i nadoknaditi investitoru eventualnu štetu.</w:t>
      </w:r>
    </w:p>
    <w:p w14:paraId="3B43D569" w14:textId="34002BE5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Obaveza investitora ostaje izrada Geomehaničkog elaborat i Kontrola mehaničke otpornosti i stabilnosti konstrukcije koju je dužan povjeriti ovlaštenim osobama.</w:t>
      </w:r>
    </w:p>
    <w:p w14:paraId="585CF14D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85C78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E034FE" w14:textId="77777777" w:rsidR="00D00A9A" w:rsidRPr="008C3A46" w:rsidRDefault="00D00A9A" w:rsidP="00D00A9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D00A9A" w:rsidRPr="008C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4EEC"/>
    <w:multiLevelType w:val="hybridMultilevel"/>
    <w:tmpl w:val="E752B9D0"/>
    <w:lvl w:ilvl="0" w:tplc="0B68E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A9A"/>
    <w:rsid w:val="00084FE1"/>
    <w:rsid w:val="00140F33"/>
    <w:rsid w:val="001A007D"/>
    <w:rsid w:val="006B6887"/>
    <w:rsid w:val="007C3441"/>
    <w:rsid w:val="00863447"/>
    <w:rsid w:val="008C3A46"/>
    <w:rsid w:val="00C74848"/>
    <w:rsid w:val="00D00A9A"/>
    <w:rsid w:val="00D70DB5"/>
    <w:rsid w:val="00DE4470"/>
    <w:rsid w:val="00E43CFF"/>
    <w:rsid w:val="00FF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0DAD"/>
  <w15:chartTrackingRefBased/>
  <w15:docId w15:val="{582F46BD-1CA4-4912-9E73-DCE16DB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1A007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A007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A007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A007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A00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5242</Characters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2024-05-22T12:17:00Z</dcterms:created>
  <dcterms:modified xsi:type="dcterms:W3CDTF">2024-06-05T10:09:00Z</dcterms:modified>
</cp:coreProperties>
</file>